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E9" w:rsidRPr="00083DE9" w:rsidRDefault="00083DE9" w:rsidP="00083DE9">
      <w:pPr>
        <w:spacing w:line="220" w:lineRule="atLeast"/>
        <w:jc w:val="center"/>
        <w:rPr>
          <w:rFonts w:ascii="仿宋" w:eastAsia="仿宋" w:hAnsi="仿宋"/>
          <w:b/>
          <w:sz w:val="36"/>
          <w:szCs w:val="36"/>
        </w:rPr>
      </w:pPr>
      <w:r w:rsidRPr="00083DE9">
        <w:rPr>
          <w:rFonts w:ascii="仿宋" w:eastAsia="仿宋" w:hAnsi="仿宋" w:hint="eastAsia"/>
          <w:b/>
          <w:sz w:val="36"/>
          <w:szCs w:val="36"/>
        </w:rPr>
        <w:t>江西省中西医结合医院</w:t>
      </w:r>
    </w:p>
    <w:p w:rsidR="00083DE9" w:rsidRPr="00083DE9" w:rsidRDefault="00083DE9" w:rsidP="00083DE9">
      <w:pPr>
        <w:spacing w:line="220" w:lineRule="atLeast"/>
        <w:jc w:val="center"/>
        <w:rPr>
          <w:rFonts w:ascii="仿宋" w:eastAsia="仿宋" w:hAnsi="仿宋"/>
          <w:b/>
          <w:sz w:val="36"/>
          <w:szCs w:val="36"/>
        </w:rPr>
      </w:pPr>
      <w:r w:rsidRPr="00083DE9">
        <w:rPr>
          <w:rFonts w:ascii="仿宋" w:eastAsia="仿宋" w:hAnsi="仿宋" w:hint="eastAsia"/>
          <w:b/>
          <w:sz w:val="36"/>
          <w:szCs w:val="36"/>
        </w:rPr>
        <w:t>2025-2026年重阳节活动招标评分表</w:t>
      </w: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268"/>
        <w:gridCol w:w="3402"/>
        <w:gridCol w:w="1417"/>
        <w:gridCol w:w="1418"/>
      </w:tblGrid>
      <w:tr w:rsidR="00083DE9" w:rsidRPr="00083DE9" w:rsidTr="00083DE9">
        <w:tc>
          <w:tcPr>
            <w:tcW w:w="1277" w:type="dxa"/>
            <w:vAlign w:val="center"/>
          </w:tcPr>
          <w:p w:rsidR="00083DE9" w:rsidRPr="00083DE9" w:rsidRDefault="00083DE9" w:rsidP="00083DE9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分项</w:t>
            </w:r>
          </w:p>
        </w:tc>
        <w:tc>
          <w:tcPr>
            <w:tcW w:w="2268" w:type="dxa"/>
            <w:vAlign w:val="center"/>
          </w:tcPr>
          <w:p w:rsidR="00083DE9" w:rsidRPr="00083DE9" w:rsidRDefault="00083DE9" w:rsidP="00083DE9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内容</w:t>
            </w:r>
          </w:p>
        </w:tc>
        <w:tc>
          <w:tcPr>
            <w:tcW w:w="3402" w:type="dxa"/>
            <w:vAlign w:val="center"/>
          </w:tcPr>
          <w:p w:rsidR="00083DE9" w:rsidRPr="00083DE9" w:rsidRDefault="00083DE9" w:rsidP="00083DE9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评分标准</w:t>
            </w:r>
          </w:p>
        </w:tc>
        <w:tc>
          <w:tcPr>
            <w:tcW w:w="1417" w:type="dxa"/>
            <w:vAlign w:val="center"/>
          </w:tcPr>
          <w:p w:rsidR="00083DE9" w:rsidRPr="00083DE9" w:rsidRDefault="00083DE9" w:rsidP="00083DE9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计分</w:t>
            </w:r>
          </w:p>
        </w:tc>
        <w:tc>
          <w:tcPr>
            <w:tcW w:w="1418" w:type="dxa"/>
            <w:vAlign w:val="center"/>
          </w:tcPr>
          <w:p w:rsidR="00083DE9" w:rsidRPr="00083DE9" w:rsidRDefault="00083DE9" w:rsidP="00083DE9">
            <w:pPr>
              <w:spacing w:line="220" w:lineRule="atLeas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</w:tc>
      </w:tr>
      <w:tr w:rsidR="00083DE9" w:rsidRPr="00083DE9" w:rsidTr="00083DE9">
        <w:tc>
          <w:tcPr>
            <w:tcW w:w="1277" w:type="dxa"/>
            <w:vMerge w:val="restart"/>
            <w:vAlign w:val="center"/>
          </w:tcPr>
          <w:p w:rsidR="00083DE9" w:rsidRPr="00083DE9" w:rsidRDefault="00083DE9" w:rsidP="00A92BA1">
            <w:pPr>
              <w:spacing w:line="220" w:lineRule="atLeas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服务</w:t>
            </w:r>
          </w:p>
          <w:p w:rsidR="00083DE9" w:rsidRPr="00083DE9" w:rsidRDefault="00083DE9" w:rsidP="00A92BA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(50分)</w:t>
            </w:r>
          </w:p>
          <w:p w:rsidR="00083DE9" w:rsidRPr="00083DE9" w:rsidRDefault="00083DE9" w:rsidP="00A92BA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3DE9" w:rsidRPr="00083DE9" w:rsidRDefault="00083DE9" w:rsidP="00A92BA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行程规划的合理性、安全性及创新性(20分)</w:t>
            </w:r>
          </w:p>
        </w:tc>
        <w:tc>
          <w:tcPr>
            <w:tcW w:w="3402" w:type="dxa"/>
          </w:tcPr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行程设计是否充分考虑到老年人的身心特点（宽松、安全、有趣）。主题是否突出，内容是否丰富有创意。</w:t>
            </w:r>
          </w:p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优：15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>-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20分；</w:t>
            </w:r>
          </w:p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良：8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>-1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4分；</w:t>
            </w:r>
          </w:p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一般：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>4-7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分，</w:t>
            </w:r>
          </w:p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差:1-3分。</w:t>
            </w:r>
          </w:p>
        </w:tc>
        <w:tc>
          <w:tcPr>
            <w:tcW w:w="1417" w:type="dxa"/>
          </w:tcPr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3DE9" w:rsidRPr="00083DE9" w:rsidTr="00083DE9">
        <w:tc>
          <w:tcPr>
            <w:tcW w:w="1277" w:type="dxa"/>
            <w:vMerge/>
          </w:tcPr>
          <w:p w:rsidR="00083DE9" w:rsidRPr="00083DE9" w:rsidRDefault="00083DE9" w:rsidP="00A92BA1">
            <w:pPr>
              <w:widowControl w:val="0"/>
              <w:spacing w:line="220" w:lineRule="atLeas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3DE9" w:rsidRPr="00083DE9" w:rsidRDefault="00083DE9" w:rsidP="00A92BA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餐饮安排的合理性及标准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>10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分)</w:t>
            </w:r>
          </w:p>
          <w:p w:rsidR="00083DE9" w:rsidRPr="00083DE9" w:rsidRDefault="00083DE9" w:rsidP="00A92BA1">
            <w:pPr>
              <w:pStyle w:val="a5"/>
              <w:spacing w:line="220" w:lineRule="atLeast"/>
              <w:ind w:left="3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餐饮地点环境、菜品搭配（是否清淡、软烂、适合老年人口味）、卫生标准是否明确。</w:t>
            </w:r>
          </w:p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优：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>8-10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分；</w:t>
            </w:r>
          </w:p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良：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>5-7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分；</w:t>
            </w:r>
          </w:p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一般：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>2-4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分；</w:t>
            </w:r>
          </w:p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差：1分。</w:t>
            </w:r>
          </w:p>
        </w:tc>
        <w:tc>
          <w:tcPr>
            <w:tcW w:w="1417" w:type="dxa"/>
          </w:tcPr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3DE9" w:rsidRPr="00083DE9" w:rsidTr="00083DE9">
        <w:tc>
          <w:tcPr>
            <w:tcW w:w="1277" w:type="dxa"/>
            <w:vMerge/>
          </w:tcPr>
          <w:p w:rsidR="00083DE9" w:rsidRPr="00083DE9" w:rsidRDefault="00083DE9" w:rsidP="00A92BA1">
            <w:pPr>
              <w:widowControl w:val="0"/>
              <w:spacing w:line="220" w:lineRule="atLeas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3DE9" w:rsidRPr="00083DE9" w:rsidRDefault="00083DE9" w:rsidP="00A92BA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应急保障预案的完备性(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 xml:space="preserve"> 10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分)</w:t>
            </w:r>
          </w:p>
          <w:p w:rsidR="00083DE9" w:rsidRPr="00083DE9" w:rsidRDefault="00083DE9" w:rsidP="00A92BA1">
            <w:pPr>
              <w:pStyle w:val="a5"/>
              <w:spacing w:line="220" w:lineRule="atLeast"/>
              <w:ind w:left="3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应急预案是否全面、具体、可操作性强，对可能发生的突发事件（如伤病、走失、天气变化）是否有详细应对流程。</w:t>
            </w:r>
          </w:p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优：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>8-10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分；</w:t>
            </w:r>
          </w:p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良：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>5-7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分；</w:t>
            </w:r>
          </w:p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一般：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>2-4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分；</w:t>
            </w:r>
          </w:p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差：1分。</w:t>
            </w:r>
          </w:p>
        </w:tc>
        <w:tc>
          <w:tcPr>
            <w:tcW w:w="1417" w:type="dxa"/>
          </w:tcPr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3DE9" w:rsidRPr="00083DE9" w:rsidTr="00083DE9">
        <w:tc>
          <w:tcPr>
            <w:tcW w:w="1277" w:type="dxa"/>
            <w:vMerge/>
          </w:tcPr>
          <w:p w:rsidR="00083DE9" w:rsidRPr="00083DE9" w:rsidRDefault="00083DE9" w:rsidP="00A92BA1">
            <w:pPr>
              <w:widowControl w:val="0"/>
              <w:spacing w:line="220" w:lineRule="atLeas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3DE9" w:rsidRPr="00083DE9" w:rsidRDefault="00083DE9" w:rsidP="00A92BA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工作人员配备方案(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10分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083DE9" w:rsidRPr="00083DE9" w:rsidRDefault="00083DE9" w:rsidP="00A92BA1">
            <w:pPr>
              <w:pStyle w:val="a5"/>
              <w:spacing w:line="220" w:lineRule="atLeast"/>
              <w:ind w:left="3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导游及工作人员的数量、经验、资质、专业性及针对老年服务的培训情况。</w:t>
            </w:r>
          </w:p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优：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>8-10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分；</w:t>
            </w:r>
          </w:p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良：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>5-7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分；</w:t>
            </w:r>
          </w:p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一般：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>2-4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分；</w:t>
            </w:r>
          </w:p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差：1分。</w:t>
            </w:r>
          </w:p>
        </w:tc>
        <w:tc>
          <w:tcPr>
            <w:tcW w:w="1417" w:type="dxa"/>
          </w:tcPr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3DE9" w:rsidRPr="00083DE9" w:rsidTr="00083DE9">
        <w:tc>
          <w:tcPr>
            <w:tcW w:w="1277" w:type="dxa"/>
            <w:vMerge w:val="restart"/>
            <w:vAlign w:val="center"/>
          </w:tcPr>
          <w:p w:rsidR="00083DE9" w:rsidRPr="00083DE9" w:rsidRDefault="00083DE9" w:rsidP="00A92BA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综合实力与业绩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 xml:space="preserve"> (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>0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>)</w:t>
            </w:r>
          </w:p>
          <w:p w:rsidR="00083DE9" w:rsidRPr="00083DE9" w:rsidRDefault="00083DE9" w:rsidP="00A92BA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3DE9" w:rsidRPr="00083DE9" w:rsidRDefault="00083DE9" w:rsidP="00A92BA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企业资质与信誉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>10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分)</w:t>
            </w:r>
          </w:p>
        </w:tc>
        <w:tc>
          <w:tcPr>
            <w:tcW w:w="3402" w:type="dxa"/>
          </w:tcPr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根据企业规模、年限、获得的行业荣誉、表彰及无投诉证明等进行综合评定。</w:t>
            </w:r>
          </w:p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优：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>8-10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分；</w:t>
            </w:r>
          </w:p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良：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>5-7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分；</w:t>
            </w:r>
          </w:p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一般：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>2-4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分；</w:t>
            </w:r>
          </w:p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差：1分。</w:t>
            </w:r>
          </w:p>
        </w:tc>
        <w:tc>
          <w:tcPr>
            <w:tcW w:w="1417" w:type="dxa"/>
          </w:tcPr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3DE9" w:rsidRPr="00083DE9" w:rsidTr="00083DE9">
        <w:tc>
          <w:tcPr>
            <w:tcW w:w="1277" w:type="dxa"/>
            <w:vMerge/>
            <w:vAlign w:val="center"/>
          </w:tcPr>
          <w:p w:rsidR="00083DE9" w:rsidRPr="00083DE9" w:rsidRDefault="00083DE9" w:rsidP="00A92BA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3DE9" w:rsidRDefault="00083DE9" w:rsidP="00A92BA1">
            <w:pPr>
              <w:spacing w:line="220" w:lineRule="atLeas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类似项目业绩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083DE9" w:rsidRPr="00083DE9" w:rsidRDefault="00083DE9" w:rsidP="00A92BA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(1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>0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分)</w:t>
            </w:r>
          </w:p>
        </w:tc>
        <w:tc>
          <w:tcPr>
            <w:tcW w:w="3402" w:type="dxa"/>
          </w:tcPr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提供近三年内承接的政府机关、事业单位、大型企业（特别是医院）类似活动的合同证明。</w:t>
            </w:r>
          </w:p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每提供一份有效合同得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>5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分，满分1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>0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分。（需提供合同关键页复印件）</w:t>
            </w:r>
          </w:p>
        </w:tc>
        <w:tc>
          <w:tcPr>
            <w:tcW w:w="1417" w:type="dxa"/>
          </w:tcPr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3DE9" w:rsidRPr="00083DE9" w:rsidTr="00083DE9">
        <w:tc>
          <w:tcPr>
            <w:tcW w:w="1277" w:type="dxa"/>
            <w:vAlign w:val="center"/>
          </w:tcPr>
          <w:p w:rsidR="00083DE9" w:rsidRPr="00083DE9" w:rsidRDefault="00083DE9" w:rsidP="00A92BA1">
            <w:pPr>
              <w:spacing w:line="220" w:lineRule="atLeas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价格部分</w:t>
            </w:r>
          </w:p>
          <w:p w:rsidR="00083DE9" w:rsidRPr="00083DE9" w:rsidRDefault="00083DE9" w:rsidP="00A92BA1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/>
                <w:sz w:val="24"/>
                <w:szCs w:val="24"/>
              </w:rPr>
              <w:t xml:space="preserve"> (30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083DE9" w:rsidRPr="00083DE9" w:rsidRDefault="00083DE9" w:rsidP="00A92BA1">
            <w:pPr>
              <w:spacing w:line="220" w:lineRule="atLeast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投标报价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>30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分)</w:t>
            </w:r>
          </w:p>
        </w:tc>
        <w:tc>
          <w:tcPr>
            <w:tcW w:w="3402" w:type="dxa"/>
          </w:tcPr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83DE9">
              <w:rPr>
                <w:rFonts w:ascii="仿宋" w:eastAsia="仿宋" w:hAnsi="仿宋" w:hint="eastAsia"/>
                <w:sz w:val="24"/>
                <w:szCs w:val="24"/>
              </w:rPr>
              <w:t>满足招标要求且最终报价最低的投标报价为评标基准价，其价格分为满分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>30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分。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其他投标人的价格分统一按照下列公式计算：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报价得分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 xml:space="preserve"> = (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评标基准价／投标报价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 xml:space="preserve">) 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×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 xml:space="preserve"> 30% </w:t>
            </w:r>
            <w:r w:rsidRPr="00083DE9">
              <w:rPr>
                <w:rFonts w:ascii="仿宋" w:eastAsia="仿宋" w:hAnsi="仿宋" w:hint="eastAsia"/>
                <w:sz w:val="24"/>
                <w:szCs w:val="24"/>
              </w:rPr>
              <w:t>×</w:t>
            </w:r>
            <w:r w:rsidRPr="00083DE9">
              <w:rPr>
                <w:rFonts w:ascii="仿宋" w:eastAsia="仿宋" w:hAnsi="仿宋"/>
                <w:sz w:val="24"/>
                <w:szCs w:val="24"/>
              </w:rPr>
              <w:t xml:space="preserve"> 100</w:t>
            </w:r>
          </w:p>
        </w:tc>
        <w:tc>
          <w:tcPr>
            <w:tcW w:w="1417" w:type="dxa"/>
          </w:tcPr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DE9" w:rsidRPr="00083DE9" w:rsidRDefault="00083DE9" w:rsidP="00A92BA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358AB" w:rsidRPr="00083DE9" w:rsidRDefault="004358AB" w:rsidP="00D31D50">
      <w:pPr>
        <w:spacing w:line="220" w:lineRule="atLeast"/>
        <w:rPr>
          <w:rFonts w:ascii="仿宋" w:eastAsia="仿宋" w:hAnsi="仿宋"/>
          <w:sz w:val="24"/>
          <w:szCs w:val="24"/>
        </w:rPr>
      </w:pPr>
    </w:p>
    <w:sectPr w:rsidR="004358AB" w:rsidRPr="00083D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6BE" w:rsidRDefault="00AB26BE" w:rsidP="00083DE9">
      <w:pPr>
        <w:spacing w:after="0"/>
      </w:pPr>
      <w:r>
        <w:separator/>
      </w:r>
    </w:p>
  </w:endnote>
  <w:endnote w:type="continuationSeparator" w:id="0">
    <w:p w:rsidR="00AB26BE" w:rsidRDefault="00AB26BE" w:rsidP="00083DE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6BE" w:rsidRDefault="00AB26BE" w:rsidP="00083DE9">
      <w:pPr>
        <w:spacing w:after="0"/>
      </w:pPr>
      <w:r>
        <w:separator/>
      </w:r>
    </w:p>
  </w:footnote>
  <w:footnote w:type="continuationSeparator" w:id="0">
    <w:p w:rsidR="00AB26BE" w:rsidRDefault="00AB26BE" w:rsidP="00083DE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3DE9"/>
    <w:rsid w:val="00323B43"/>
    <w:rsid w:val="003D37D8"/>
    <w:rsid w:val="00426133"/>
    <w:rsid w:val="004358AB"/>
    <w:rsid w:val="00694950"/>
    <w:rsid w:val="008B7726"/>
    <w:rsid w:val="00AB26B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3DE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3DE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3DE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3DE9"/>
    <w:rPr>
      <w:rFonts w:ascii="Tahoma" w:hAnsi="Tahoma"/>
      <w:sz w:val="18"/>
      <w:szCs w:val="18"/>
    </w:rPr>
  </w:style>
  <w:style w:type="paragraph" w:styleId="2">
    <w:name w:val="Body Text 2"/>
    <w:basedOn w:val="a"/>
    <w:link w:val="2Char"/>
    <w:qFormat/>
    <w:rsid w:val="00083DE9"/>
    <w:pPr>
      <w:widowControl w:val="0"/>
      <w:adjustRightInd/>
      <w:snapToGrid/>
      <w:spacing w:after="0" w:line="360" w:lineRule="auto"/>
      <w:jc w:val="both"/>
    </w:pPr>
    <w:rPr>
      <w:rFonts w:ascii="宋体" w:eastAsia="宋体" w:hAnsi="Calibri" w:cs="Times New Roman"/>
      <w:kern w:val="2"/>
      <w:sz w:val="28"/>
      <w:szCs w:val="24"/>
    </w:rPr>
  </w:style>
  <w:style w:type="character" w:customStyle="1" w:styleId="2Char">
    <w:name w:val="正文文本 2 Char"/>
    <w:basedOn w:val="a0"/>
    <w:link w:val="2"/>
    <w:rsid w:val="00083DE9"/>
    <w:rPr>
      <w:rFonts w:ascii="宋体" w:eastAsia="宋体" w:hAnsi="Calibri" w:cs="Times New Roman"/>
      <w:kern w:val="2"/>
      <w:sz w:val="28"/>
      <w:szCs w:val="24"/>
    </w:rPr>
  </w:style>
  <w:style w:type="paragraph" w:styleId="a5">
    <w:name w:val="List Paragraph"/>
    <w:basedOn w:val="a"/>
    <w:uiPriority w:val="34"/>
    <w:qFormat/>
    <w:rsid w:val="00083DE9"/>
    <w:pPr>
      <w:ind w:firstLineChars="200" w:firstLine="4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2025-09-25T08:29:00Z</dcterms:modified>
</cp:coreProperties>
</file>