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BF9B">
      <w:pPr>
        <w:pStyle w:val="4"/>
        <w:spacing w:line="360" w:lineRule="auto"/>
        <w:jc w:val="center"/>
        <w:rPr>
          <w:rFonts w:ascii="宋体" w:hAnsi="宋体" w:eastAsia="宋体" w:cs="宋体"/>
          <w:b/>
          <w:bCs w:val="0"/>
          <w:sz w:val="32"/>
        </w:rPr>
      </w:pPr>
      <w:bookmarkStart w:id="0" w:name="_Toc45786413"/>
      <w:r>
        <w:rPr>
          <w:rFonts w:hint="eastAsia" w:ascii="宋体" w:hAnsi="宋体" w:eastAsia="宋体" w:cs="宋体"/>
          <w:b/>
          <w:bCs w:val="0"/>
          <w:sz w:val="32"/>
        </w:rPr>
        <w:t>一、采购需求一览表</w:t>
      </w:r>
      <w:bookmarkEnd w:id="0"/>
      <w:bookmarkStart w:id="1" w:name="_Toc45786414"/>
    </w:p>
    <w:p w14:paraId="6AA2DBD8">
      <w:pPr>
        <w:spacing w:line="360" w:lineRule="auto"/>
        <w:rPr>
          <w:rFonts w:ascii="宋体" w:hAnsi="宋体" w:cs="宋体"/>
          <w:sz w:val="24"/>
          <w:szCs w:val="24"/>
        </w:rPr>
      </w:pPr>
    </w:p>
    <w:tbl>
      <w:tblPr>
        <w:tblStyle w:val="11"/>
        <w:tblpPr w:leftFromText="180" w:rightFromText="180" w:vertAnchor="page" w:horzAnchor="page" w:tblpXSpec="center" w:tblpY="2658"/>
        <w:tblOverlap w:val="never"/>
        <w:tblW w:w="86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6478"/>
      </w:tblGrid>
      <w:tr w14:paraId="5A2D8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2189" w:type="dxa"/>
            <w:tcBorders>
              <w:tl2br w:val="nil"/>
              <w:tr2bl w:val="nil"/>
            </w:tcBorders>
            <w:vAlign w:val="center"/>
          </w:tcPr>
          <w:p w14:paraId="32A762C6">
            <w:pPr>
              <w:spacing w:line="360" w:lineRule="auto"/>
              <w:jc w:val="center"/>
              <w:rPr>
                <w:rFonts w:ascii="宋体" w:hAnsi="宋体" w:cs="宋体"/>
                <w:b/>
                <w:bCs/>
                <w:sz w:val="24"/>
                <w:szCs w:val="24"/>
              </w:rPr>
            </w:pPr>
            <w:r>
              <w:rPr>
                <w:rFonts w:hint="eastAsia" w:ascii="宋体" w:hAnsi="宋体" w:cs="宋体"/>
                <w:b/>
                <w:bCs/>
                <w:sz w:val="24"/>
                <w:szCs w:val="24"/>
              </w:rPr>
              <w:t xml:space="preserve">        项目名称</w:t>
            </w:r>
          </w:p>
          <w:p w14:paraId="0497CDBB">
            <w:pPr>
              <w:spacing w:line="360" w:lineRule="auto"/>
              <w:rPr>
                <w:rFonts w:ascii="宋体" w:hAnsi="宋体" w:cs="宋体"/>
                <w:b/>
                <w:bCs/>
                <w:sz w:val="24"/>
                <w:szCs w:val="24"/>
              </w:rPr>
            </w:pPr>
            <w:r>
              <w:rPr>
                <w:rFonts w:hint="eastAsia" w:ascii="宋体" w:hAnsi="宋体" w:cs="宋体"/>
                <w:b/>
                <w:bCs/>
                <w:sz w:val="24"/>
                <w:szCs w:val="24"/>
              </w:rPr>
              <w:t>项目内容</w:t>
            </w:r>
          </w:p>
        </w:tc>
        <w:tc>
          <w:tcPr>
            <w:tcW w:w="6478" w:type="dxa"/>
            <w:tcBorders>
              <w:tl2br w:val="nil"/>
              <w:tr2bl w:val="nil"/>
            </w:tcBorders>
            <w:vAlign w:val="center"/>
          </w:tcPr>
          <w:p w14:paraId="5E84D0D1">
            <w:pPr>
              <w:pStyle w:val="5"/>
              <w:spacing w:before="5" w:line="223" w:lineRule="auto"/>
              <w:ind w:left="231" w:right="248" w:firstLine="480"/>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年度</w:t>
            </w:r>
            <w:r>
              <w:rPr>
                <w:rFonts w:ascii="宋体" w:hAnsi="宋体" w:cs="宋体"/>
                <w:sz w:val="28"/>
                <w:szCs w:val="28"/>
              </w:rPr>
              <w:t>放射诊疗设备性能检测以及放射诊疗工作场所放射防护检测</w:t>
            </w:r>
          </w:p>
          <w:p w14:paraId="344215A9">
            <w:pPr>
              <w:pStyle w:val="5"/>
              <w:spacing w:before="5" w:line="223" w:lineRule="auto"/>
              <w:ind w:left="231" w:right="248" w:firstLine="480"/>
              <w:jc w:val="center"/>
              <w:rPr>
                <w:rFonts w:ascii="宋体" w:hAnsi="宋体" w:cs="宋体"/>
                <w:sz w:val="28"/>
                <w:szCs w:val="28"/>
              </w:rPr>
            </w:pPr>
          </w:p>
        </w:tc>
      </w:tr>
      <w:tr w14:paraId="6A364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189" w:type="dxa"/>
            <w:tcBorders>
              <w:tl2br w:val="nil"/>
              <w:tr2bl w:val="nil"/>
            </w:tcBorders>
            <w:vAlign w:val="center"/>
          </w:tcPr>
          <w:p w14:paraId="180F40CB">
            <w:pPr>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6478" w:type="dxa"/>
            <w:tcBorders>
              <w:tl2br w:val="nil"/>
              <w:tr2bl w:val="nil"/>
            </w:tcBorders>
            <w:vAlign w:val="center"/>
          </w:tcPr>
          <w:p w14:paraId="12ACDB8F">
            <w:pPr>
              <w:spacing w:line="360" w:lineRule="auto"/>
              <w:jc w:val="center"/>
              <w:rPr>
                <w:rFonts w:hint="eastAsia" w:ascii="宋体" w:hAnsi="宋体" w:cs="宋体"/>
                <w:sz w:val="28"/>
                <w:szCs w:val="28"/>
              </w:rPr>
            </w:pPr>
            <w:r>
              <w:rPr>
                <w:rFonts w:ascii="宋体" w:hAnsi="宋体" w:cs="宋体"/>
                <w:sz w:val="28"/>
                <w:szCs w:val="28"/>
              </w:rPr>
              <w:t>CT</w:t>
            </w:r>
            <w:r>
              <w:rPr>
                <w:rFonts w:hint="eastAsia" w:ascii="宋体" w:hAnsi="宋体" w:cs="宋体"/>
                <w:sz w:val="28"/>
                <w:szCs w:val="28"/>
                <w:lang w:val="en-US" w:eastAsia="zh-CN"/>
              </w:rPr>
              <w:t xml:space="preserve"> </w:t>
            </w:r>
            <w:r>
              <w:rPr>
                <w:rFonts w:ascii="宋体" w:hAnsi="宋体" w:cs="宋体"/>
                <w:sz w:val="28"/>
                <w:szCs w:val="28"/>
              </w:rPr>
              <w:t>2</w:t>
            </w:r>
            <w:r>
              <w:rPr>
                <w:rFonts w:hint="eastAsia" w:ascii="宋体" w:hAnsi="宋体" w:cs="宋体"/>
                <w:sz w:val="28"/>
                <w:szCs w:val="28"/>
              </w:rPr>
              <w:t>台、DR</w:t>
            </w:r>
            <w:r>
              <w:rPr>
                <w:rFonts w:hint="eastAsia" w:ascii="宋体" w:hAnsi="宋体" w:cs="宋体"/>
                <w:sz w:val="28"/>
                <w:szCs w:val="28"/>
                <w:lang w:val="en-US" w:eastAsia="zh-CN"/>
              </w:rPr>
              <w:t xml:space="preserve"> </w:t>
            </w:r>
            <w:r>
              <w:rPr>
                <w:rFonts w:ascii="宋体" w:hAnsi="宋体" w:cs="宋体"/>
                <w:sz w:val="28"/>
                <w:szCs w:val="28"/>
              </w:rPr>
              <w:t>3</w:t>
            </w:r>
            <w:r>
              <w:rPr>
                <w:rFonts w:hint="eastAsia" w:ascii="宋体" w:hAnsi="宋体" w:cs="宋体"/>
                <w:sz w:val="28"/>
                <w:szCs w:val="28"/>
              </w:rPr>
              <w:t>台、C臂机2台、口腔C</w:t>
            </w:r>
            <w:r>
              <w:rPr>
                <w:rFonts w:ascii="宋体" w:hAnsi="宋体" w:cs="宋体"/>
                <w:sz w:val="28"/>
                <w:szCs w:val="28"/>
              </w:rPr>
              <w:t>T1</w:t>
            </w:r>
            <w:r>
              <w:rPr>
                <w:rFonts w:hint="eastAsia" w:ascii="宋体" w:hAnsi="宋体" w:cs="宋体"/>
                <w:sz w:val="28"/>
                <w:szCs w:val="28"/>
              </w:rPr>
              <w:t>台、</w:t>
            </w:r>
          </w:p>
          <w:p w14:paraId="3FBBC795">
            <w:pPr>
              <w:spacing w:line="360" w:lineRule="auto"/>
              <w:jc w:val="center"/>
              <w:rPr>
                <w:rFonts w:hint="eastAsia" w:ascii="宋体" w:hAnsi="宋体" w:cs="宋体"/>
                <w:sz w:val="28"/>
                <w:szCs w:val="28"/>
              </w:rPr>
            </w:pPr>
            <w:r>
              <w:rPr>
                <w:rFonts w:hint="eastAsia" w:ascii="宋体" w:hAnsi="宋体" w:cs="宋体"/>
                <w:sz w:val="28"/>
                <w:szCs w:val="28"/>
              </w:rPr>
              <w:t>牙片机1台</w:t>
            </w:r>
            <w:r>
              <w:rPr>
                <w:rFonts w:hint="eastAsia" w:ascii="宋体" w:hAnsi="宋体" w:cs="宋体"/>
                <w:sz w:val="28"/>
                <w:szCs w:val="28"/>
                <w:lang w:eastAsia="zh-CN"/>
              </w:rPr>
              <w:t>、</w:t>
            </w:r>
            <w:r>
              <w:rPr>
                <w:rFonts w:hint="eastAsia" w:ascii="宋体" w:hAnsi="宋体" w:cs="宋体"/>
                <w:sz w:val="28"/>
                <w:szCs w:val="28"/>
              </w:rPr>
              <w:t>口腔全景机1台、胃肠机1台、</w:t>
            </w:r>
          </w:p>
          <w:p w14:paraId="071B9082">
            <w:pPr>
              <w:spacing w:line="360" w:lineRule="auto"/>
              <w:jc w:val="center"/>
              <w:rPr>
                <w:rFonts w:ascii="宋体" w:hAnsi="宋体" w:cs="宋体"/>
                <w:sz w:val="24"/>
                <w:szCs w:val="24"/>
              </w:rPr>
            </w:pPr>
            <w:r>
              <w:rPr>
                <w:rFonts w:hint="eastAsia" w:ascii="宋体" w:hAnsi="宋体" w:cs="宋体"/>
                <w:sz w:val="28"/>
                <w:szCs w:val="28"/>
              </w:rPr>
              <w:t>骨密度机1台、D</w:t>
            </w:r>
            <w:r>
              <w:rPr>
                <w:rFonts w:ascii="宋体" w:hAnsi="宋体" w:cs="宋体"/>
                <w:sz w:val="28"/>
                <w:szCs w:val="28"/>
              </w:rPr>
              <w:t>SA1</w:t>
            </w:r>
            <w:r>
              <w:rPr>
                <w:rFonts w:hint="eastAsia" w:ascii="宋体" w:hAnsi="宋体" w:cs="宋体"/>
                <w:sz w:val="28"/>
                <w:szCs w:val="28"/>
              </w:rPr>
              <w:t>台</w:t>
            </w:r>
          </w:p>
        </w:tc>
      </w:tr>
      <w:tr w14:paraId="2685C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2189" w:type="dxa"/>
            <w:tcBorders>
              <w:tl2br w:val="nil"/>
              <w:tr2bl w:val="nil"/>
            </w:tcBorders>
            <w:vAlign w:val="center"/>
          </w:tcPr>
          <w:p w14:paraId="5A75F86C">
            <w:pPr>
              <w:spacing w:line="360" w:lineRule="auto"/>
              <w:jc w:val="center"/>
              <w:rPr>
                <w:rFonts w:ascii="宋体" w:hAnsi="宋体" w:cs="宋体"/>
                <w:b/>
                <w:bCs/>
                <w:sz w:val="24"/>
                <w:szCs w:val="24"/>
              </w:rPr>
            </w:pPr>
            <w:r>
              <w:rPr>
                <w:rFonts w:hint="eastAsia" w:ascii="宋体" w:hAnsi="宋体" w:cs="宋体"/>
                <w:b/>
                <w:bCs/>
                <w:sz w:val="24"/>
                <w:szCs w:val="24"/>
              </w:rPr>
              <w:t>服务期</w:t>
            </w:r>
          </w:p>
        </w:tc>
        <w:tc>
          <w:tcPr>
            <w:tcW w:w="6478" w:type="dxa"/>
            <w:tcBorders>
              <w:tl2br w:val="nil"/>
              <w:tr2bl w:val="nil"/>
            </w:tcBorders>
            <w:vAlign w:val="center"/>
          </w:tcPr>
          <w:p w14:paraId="7689BDAD">
            <w:pPr>
              <w:pStyle w:val="5"/>
              <w:spacing w:before="5" w:line="223" w:lineRule="auto"/>
              <w:ind w:left="231" w:right="248" w:firstLine="480"/>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年度</w:t>
            </w:r>
          </w:p>
        </w:tc>
      </w:tr>
      <w:tr w14:paraId="68862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89" w:type="dxa"/>
            <w:tcBorders>
              <w:tl2br w:val="nil"/>
              <w:tr2bl w:val="nil"/>
            </w:tcBorders>
            <w:vAlign w:val="center"/>
          </w:tcPr>
          <w:p w14:paraId="7854E37D">
            <w:pPr>
              <w:spacing w:line="360" w:lineRule="auto"/>
              <w:jc w:val="center"/>
              <w:rPr>
                <w:rFonts w:ascii="宋体" w:hAnsi="宋体" w:cs="宋体"/>
                <w:b/>
                <w:bCs/>
                <w:sz w:val="24"/>
                <w:szCs w:val="24"/>
              </w:rPr>
            </w:pPr>
            <w:r>
              <w:rPr>
                <w:rFonts w:hint="eastAsia" w:ascii="宋体" w:hAnsi="宋体" w:cs="宋体"/>
                <w:b/>
                <w:bCs/>
                <w:sz w:val="24"/>
                <w:szCs w:val="24"/>
              </w:rPr>
              <w:t>服务地点</w:t>
            </w:r>
          </w:p>
        </w:tc>
        <w:tc>
          <w:tcPr>
            <w:tcW w:w="6478" w:type="dxa"/>
            <w:tcBorders>
              <w:tl2br w:val="nil"/>
              <w:tr2bl w:val="nil"/>
            </w:tcBorders>
            <w:vAlign w:val="center"/>
          </w:tcPr>
          <w:p w14:paraId="60EEF894">
            <w:pPr>
              <w:spacing w:line="360" w:lineRule="auto"/>
              <w:jc w:val="center"/>
              <w:rPr>
                <w:rFonts w:ascii="宋体" w:hAnsi="宋体" w:cs="宋体"/>
                <w:sz w:val="28"/>
                <w:szCs w:val="28"/>
              </w:rPr>
            </w:pPr>
            <w:r>
              <w:rPr>
                <w:rFonts w:hint="eastAsia" w:ascii="宋体" w:hAnsi="宋体" w:cs="宋体"/>
                <w:sz w:val="28"/>
                <w:szCs w:val="28"/>
              </w:rPr>
              <w:t>江西省中西医结合医院</w:t>
            </w:r>
          </w:p>
        </w:tc>
      </w:tr>
      <w:tr w14:paraId="3A086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189" w:type="dxa"/>
            <w:tcBorders>
              <w:tl2br w:val="nil"/>
              <w:tr2bl w:val="nil"/>
            </w:tcBorders>
            <w:vAlign w:val="center"/>
          </w:tcPr>
          <w:p w14:paraId="68C598A7">
            <w:pPr>
              <w:spacing w:line="360" w:lineRule="auto"/>
              <w:jc w:val="center"/>
              <w:rPr>
                <w:rFonts w:ascii="宋体" w:hAnsi="宋体" w:cs="宋体"/>
                <w:b/>
                <w:bCs/>
                <w:sz w:val="24"/>
                <w:szCs w:val="24"/>
              </w:rPr>
            </w:pPr>
            <w:r>
              <w:rPr>
                <w:rFonts w:hint="eastAsia" w:ascii="宋体" w:hAnsi="宋体" w:cs="宋体"/>
                <w:b/>
                <w:bCs/>
                <w:sz w:val="24"/>
                <w:szCs w:val="24"/>
              </w:rPr>
              <w:t>备注</w:t>
            </w:r>
          </w:p>
        </w:tc>
        <w:tc>
          <w:tcPr>
            <w:tcW w:w="6478" w:type="dxa"/>
            <w:tcBorders>
              <w:tl2br w:val="nil"/>
              <w:tr2bl w:val="nil"/>
            </w:tcBorders>
            <w:vAlign w:val="center"/>
          </w:tcPr>
          <w:p w14:paraId="0D35D234">
            <w:pPr>
              <w:spacing w:line="360" w:lineRule="auto"/>
              <w:jc w:val="center"/>
              <w:rPr>
                <w:rFonts w:ascii="宋体" w:hAnsi="宋体" w:cs="宋体"/>
                <w:sz w:val="24"/>
                <w:szCs w:val="24"/>
              </w:rPr>
            </w:pPr>
            <w:r>
              <w:rPr>
                <w:rFonts w:hint="eastAsia" w:ascii="宋体" w:hAnsi="宋体" w:cs="宋体"/>
                <w:sz w:val="28"/>
                <w:szCs w:val="28"/>
              </w:rPr>
              <w:t>无</w:t>
            </w:r>
          </w:p>
        </w:tc>
      </w:tr>
    </w:tbl>
    <w:p w14:paraId="486FE737">
      <w:pPr>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76200</wp:posOffset>
                </wp:positionV>
                <wp:extent cx="1393190" cy="769620"/>
                <wp:effectExtent l="2540" t="4445" r="13970" b="6985"/>
                <wp:wrapNone/>
                <wp:docPr id="1" name="直接连接符 1"/>
                <wp:cNvGraphicFramePr/>
                <a:graphic xmlns:a="http://schemas.openxmlformats.org/drawingml/2006/main">
                  <a:graphicData uri="http://schemas.microsoft.com/office/word/2010/wordprocessingShape">
                    <wps:wsp>
                      <wps:cNvCnPr/>
                      <wps:spPr>
                        <a:xfrm>
                          <a:off x="706120" y="1872615"/>
                          <a:ext cx="1393190" cy="769620"/>
                        </a:xfrm>
                        <a:prstGeom prst="line">
                          <a:avLst/>
                        </a:prstGeom>
                        <a:noFill/>
                        <a:ln w="31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9.45pt;margin-top:6pt;height:60.6pt;width:109.7pt;z-index:251659264;mso-width-relative:page;mso-height-relative:page;" filled="f" stroked="t" coordsize="21600,21600" o:gfxdata="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Tpx1QAAAAoBAAAPAAAAAAAAAAEAIAAAACIAAABkcnMvZG93bnJldi54bWxQSwEC&#10;FAAUAAAACACHTuJAksDo6vcBAADPAwAADgAAAAAAAAABACAAAAAkAQAAZHJzL2Uyb0RvYy54bWxQ&#10;SwUGAAAAAAYABgBZAQAAjQUAAAAA&#10;">
                <v:fill on="f" focussize="0,0"/>
                <v:stroke weight="0.25pt" color="#000000" miterlimit="8" joinstyle="miter"/>
                <v:imagedata o:title=""/>
                <o:lock v:ext="edit" aspectratio="f"/>
              </v:line>
            </w:pict>
          </mc:Fallback>
        </mc:AlternateContent>
      </w:r>
    </w:p>
    <w:p w14:paraId="7630088A">
      <w:pPr>
        <w:pStyle w:val="4"/>
        <w:spacing w:line="360" w:lineRule="auto"/>
        <w:jc w:val="center"/>
        <w:rPr>
          <w:rFonts w:ascii="宋体" w:hAnsi="宋体" w:eastAsia="宋体" w:cs="宋体"/>
          <w:b/>
          <w:bCs w:val="0"/>
          <w:sz w:val="32"/>
        </w:rPr>
      </w:pPr>
      <w:r>
        <w:rPr>
          <w:rFonts w:hint="eastAsia" w:ascii="宋体" w:hAnsi="宋体" w:eastAsia="宋体" w:cs="宋体"/>
          <w:b/>
          <w:bCs w:val="0"/>
          <w:sz w:val="32"/>
        </w:rPr>
        <w:t>二、</w:t>
      </w:r>
      <w:bookmarkEnd w:id="1"/>
      <w:r>
        <w:rPr>
          <w:rFonts w:hint="eastAsia" w:ascii="宋体" w:hAnsi="宋体" w:eastAsia="宋体" w:cs="宋体"/>
          <w:b/>
          <w:bCs w:val="0"/>
          <w:sz w:val="32"/>
        </w:rPr>
        <w:t>服务标准和要求</w:t>
      </w:r>
    </w:p>
    <w:p w14:paraId="357D447F">
      <w:pPr>
        <w:pStyle w:val="4"/>
        <w:spacing w:line="360" w:lineRule="auto"/>
        <w:rPr>
          <w:rFonts w:ascii="宋体" w:hAnsi="宋体" w:eastAsia="宋体" w:cs="宋体"/>
          <w:sz w:val="24"/>
          <w:szCs w:val="24"/>
        </w:rPr>
      </w:pPr>
    </w:p>
    <w:p w14:paraId="33A9FD86">
      <w:pPr>
        <w:pStyle w:val="5"/>
        <w:spacing w:before="5" w:line="223" w:lineRule="auto"/>
        <w:ind w:left="231" w:right="248" w:firstLine="480"/>
        <w:rPr>
          <w:rFonts w:ascii="宋体" w:hAnsi="宋体" w:cs="宋体"/>
          <w:sz w:val="28"/>
          <w:szCs w:val="28"/>
        </w:rPr>
      </w:pPr>
      <w:r>
        <w:rPr>
          <w:rFonts w:hint="eastAsia" w:ascii="宋体" w:hAnsi="宋体" w:cs="宋体"/>
          <w:b/>
          <w:bCs/>
          <w:sz w:val="28"/>
          <w:szCs w:val="28"/>
        </w:rPr>
        <w:t>服务内容：</w:t>
      </w:r>
      <w:r>
        <w:rPr>
          <w:rFonts w:hint="eastAsia" w:ascii="宋体" w:hAnsi="宋体" w:cs="宋体"/>
          <w:sz w:val="28"/>
          <w:szCs w:val="28"/>
        </w:rPr>
        <w:t>包括有</w:t>
      </w:r>
      <w:r>
        <w:rPr>
          <w:rFonts w:ascii="宋体" w:hAnsi="宋体" w:cs="宋体"/>
          <w:sz w:val="28"/>
          <w:szCs w:val="28"/>
        </w:rPr>
        <w:t>CT2</w:t>
      </w:r>
      <w:r>
        <w:rPr>
          <w:rFonts w:hint="eastAsia" w:ascii="宋体" w:hAnsi="宋体" w:cs="宋体"/>
          <w:sz w:val="28"/>
          <w:szCs w:val="28"/>
        </w:rPr>
        <w:t>台、DR</w:t>
      </w:r>
      <w:r>
        <w:rPr>
          <w:rFonts w:ascii="宋体" w:hAnsi="宋体" w:cs="宋体"/>
          <w:sz w:val="28"/>
          <w:szCs w:val="28"/>
        </w:rPr>
        <w:t>3</w:t>
      </w:r>
      <w:r>
        <w:rPr>
          <w:rFonts w:hint="eastAsia" w:ascii="宋体" w:hAnsi="宋体" w:cs="宋体"/>
          <w:sz w:val="28"/>
          <w:szCs w:val="28"/>
        </w:rPr>
        <w:t>台、C臂机2台、口腔C</w:t>
      </w:r>
      <w:r>
        <w:rPr>
          <w:rFonts w:ascii="宋体" w:hAnsi="宋体" w:cs="宋体"/>
          <w:sz w:val="28"/>
          <w:szCs w:val="28"/>
        </w:rPr>
        <w:t>T1</w:t>
      </w:r>
      <w:r>
        <w:rPr>
          <w:rFonts w:hint="eastAsia" w:ascii="宋体" w:hAnsi="宋体" w:cs="宋体"/>
          <w:sz w:val="28"/>
          <w:szCs w:val="28"/>
        </w:rPr>
        <w:t>台、牙片机1台</w:t>
      </w:r>
      <w:r>
        <w:rPr>
          <w:rFonts w:hint="eastAsia" w:ascii="宋体" w:hAnsi="宋体" w:cs="宋体"/>
          <w:sz w:val="28"/>
          <w:szCs w:val="28"/>
          <w:lang w:eastAsia="zh-CN"/>
        </w:rPr>
        <w:t>、</w:t>
      </w:r>
      <w:r>
        <w:rPr>
          <w:rFonts w:hint="eastAsia" w:ascii="宋体" w:hAnsi="宋体" w:cs="宋体"/>
          <w:sz w:val="28"/>
          <w:szCs w:val="28"/>
        </w:rPr>
        <w:t>口腔全景机1台、胃肠机1台、骨密度机1台、D</w:t>
      </w:r>
      <w:r>
        <w:rPr>
          <w:rFonts w:ascii="宋体" w:hAnsi="宋体" w:cs="宋体"/>
          <w:sz w:val="28"/>
          <w:szCs w:val="28"/>
        </w:rPr>
        <w:t>SA1</w:t>
      </w:r>
      <w:r>
        <w:rPr>
          <w:rFonts w:hint="eastAsia" w:ascii="宋体" w:hAnsi="宋体" w:cs="宋体"/>
          <w:sz w:val="28"/>
          <w:szCs w:val="28"/>
        </w:rPr>
        <w:t>台</w:t>
      </w:r>
      <w:r>
        <w:rPr>
          <w:rFonts w:hint="eastAsia" w:ascii="宋体" w:hAnsi="宋体" w:cs="宋体"/>
          <w:sz w:val="28"/>
          <w:szCs w:val="28"/>
          <w:lang w:eastAsia="zh-CN"/>
        </w:rPr>
        <w:t>，</w:t>
      </w:r>
      <w:r>
        <w:rPr>
          <w:rFonts w:ascii="宋体" w:hAnsi="宋体" w:cs="宋体"/>
          <w:sz w:val="28"/>
          <w:szCs w:val="28"/>
        </w:rPr>
        <w:t>放射诊疗设备性能检测以及放射诊疗工作场所放射防护检测</w:t>
      </w:r>
      <w:r>
        <w:rPr>
          <w:rFonts w:hint="eastAsia" w:ascii="宋体" w:hAnsi="宋体" w:cs="宋体"/>
          <w:sz w:val="28"/>
          <w:szCs w:val="28"/>
        </w:rPr>
        <w:t>。</w:t>
      </w:r>
    </w:p>
    <w:p w14:paraId="0A0EC3F7">
      <w:pPr>
        <w:pStyle w:val="5"/>
        <w:spacing w:before="5" w:line="223" w:lineRule="auto"/>
        <w:ind w:left="231" w:right="248" w:firstLine="480"/>
        <w:rPr>
          <w:rFonts w:ascii="宋体" w:hAnsi="宋体" w:cs="宋体"/>
          <w:sz w:val="28"/>
          <w:szCs w:val="28"/>
        </w:rPr>
      </w:pPr>
    </w:p>
    <w:p w14:paraId="1461781B">
      <w:pPr>
        <w:numPr>
          <w:ilvl w:val="0"/>
          <w:numId w:val="1"/>
        </w:numPr>
        <w:spacing w:line="360" w:lineRule="auto"/>
        <w:rPr>
          <w:rStyle w:val="20"/>
          <w:rFonts w:ascii="宋体" w:hAnsi="宋体" w:cs="宋体"/>
          <w:kern w:val="0"/>
          <w:sz w:val="28"/>
          <w:szCs w:val="28"/>
        </w:rPr>
      </w:pPr>
      <w:r>
        <w:rPr>
          <w:rFonts w:hint="eastAsia" w:ascii="宋体" w:hAnsi="宋体" w:cs="宋体"/>
          <w:b/>
          <w:bCs/>
          <w:sz w:val="28"/>
          <w:szCs w:val="28"/>
        </w:rPr>
        <w:t>服务基本要求：</w:t>
      </w:r>
    </w:p>
    <w:p w14:paraId="3CF4A900">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rPr>
        <w:t>1、投标供应商具</w:t>
      </w:r>
      <w:r>
        <w:rPr>
          <w:rStyle w:val="20"/>
          <w:rFonts w:hint="eastAsia" w:ascii="宋体" w:hAnsi="宋体" w:cs="宋体"/>
          <w:kern w:val="0"/>
          <w:sz w:val="28"/>
          <w:szCs w:val="28"/>
          <w:highlight w:val="none"/>
        </w:rPr>
        <w:t>有独立承担民事责任能力的法人或其他组织或自然人；</w:t>
      </w:r>
    </w:p>
    <w:p w14:paraId="11287E00">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highlight w:val="none"/>
        </w:rPr>
        <w:t>2、投标供应商具有良好的商业信誉和健全的财务会计制度；</w:t>
      </w:r>
    </w:p>
    <w:p w14:paraId="7C80AED6">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highlight w:val="none"/>
        </w:rPr>
        <w:t>3、投标供应商具有履行合同所必需的设备和</w:t>
      </w:r>
      <w:r>
        <w:rPr>
          <w:rStyle w:val="20"/>
          <w:rFonts w:hint="eastAsia" w:ascii="宋体" w:hAnsi="宋体" w:cs="宋体"/>
          <w:b w:val="0"/>
          <w:bCs/>
          <w:kern w:val="0"/>
          <w:sz w:val="28"/>
          <w:szCs w:val="28"/>
          <w:highlight w:val="none"/>
        </w:rPr>
        <w:t>专业技术能力；</w:t>
      </w:r>
    </w:p>
    <w:p w14:paraId="79232EFD">
      <w:pPr>
        <w:widowControl/>
        <w:snapToGrid w:val="0"/>
        <w:spacing w:line="560" w:lineRule="exact"/>
        <w:jc w:val="left"/>
        <w:textAlignment w:val="baseline"/>
        <w:rPr>
          <w:rStyle w:val="20"/>
          <w:rFonts w:ascii="宋体" w:hAnsi="宋体" w:cs="宋体"/>
          <w:kern w:val="0"/>
          <w:sz w:val="28"/>
          <w:szCs w:val="28"/>
        </w:rPr>
      </w:pPr>
      <w:r>
        <w:rPr>
          <w:rStyle w:val="20"/>
          <w:rFonts w:hint="eastAsia" w:ascii="宋体" w:hAnsi="宋体" w:cs="宋体"/>
          <w:kern w:val="0"/>
          <w:sz w:val="28"/>
          <w:szCs w:val="28"/>
        </w:rPr>
        <w:t>4、投标供应商有依法缴纳税收和社会保障资金的良好记录；</w:t>
      </w:r>
    </w:p>
    <w:p w14:paraId="4C75A65D">
      <w:pPr>
        <w:widowControl/>
        <w:snapToGrid w:val="0"/>
        <w:spacing w:line="560" w:lineRule="exact"/>
        <w:jc w:val="left"/>
        <w:textAlignment w:val="baseline"/>
        <w:rPr>
          <w:rFonts w:ascii="宋体" w:hAnsi="宋体" w:cs="宋体"/>
          <w:sz w:val="28"/>
          <w:szCs w:val="28"/>
        </w:rPr>
      </w:pPr>
      <w:r>
        <w:rPr>
          <w:rStyle w:val="20"/>
          <w:rFonts w:ascii="宋体" w:hAnsi="宋体" w:cs="宋体"/>
          <w:kern w:val="0"/>
          <w:sz w:val="28"/>
          <w:szCs w:val="28"/>
        </w:rPr>
        <w:t>5</w:t>
      </w:r>
      <w:r>
        <w:rPr>
          <w:rStyle w:val="20"/>
          <w:rFonts w:hint="eastAsia" w:ascii="宋体" w:hAnsi="宋体" w:cs="宋体"/>
          <w:kern w:val="0"/>
          <w:sz w:val="28"/>
          <w:szCs w:val="28"/>
        </w:rPr>
        <w:t>、投标人须按照服务内容要求完成江西省中西医结合医院202</w:t>
      </w:r>
      <w:r>
        <w:rPr>
          <w:rStyle w:val="20"/>
          <w:rFonts w:hint="eastAsia" w:ascii="宋体" w:hAnsi="宋体" w:cs="宋体"/>
          <w:kern w:val="0"/>
          <w:sz w:val="28"/>
          <w:szCs w:val="28"/>
          <w:lang w:val="en-US"/>
        </w:rPr>
        <w:t>5</w:t>
      </w:r>
      <w:r>
        <w:rPr>
          <w:rStyle w:val="20"/>
          <w:rFonts w:hint="eastAsia" w:ascii="宋体" w:hAnsi="宋体" w:cs="宋体"/>
          <w:kern w:val="0"/>
          <w:sz w:val="28"/>
          <w:szCs w:val="28"/>
        </w:rPr>
        <w:t>年度放射诊疗设备性能检测以及放射诊疗工作场所放射防护检测技</w:t>
      </w:r>
      <w:r>
        <w:rPr>
          <w:rFonts w:hint="eastAsia" w:ascii="宋体" w:hAnsi="宋体" w:cs="宋体"/>
          <w:sz w:val="28"/>
          <w:szCs w:val="28"/>
        </w:rPr>
        <w:t>术服务项目，投标人编制的相应报告应符合法律法规及主管部门要求，否则医院有权拒付合同款。</w:t>
      </w:r>
    </w:p>
    <w:p w14:paraId="43F72B01">
      <w:pPr>
        <w:pStyle w:val="5"/>
        <w:spacing w:before="5" w:line="223" w:lineRule="auto"/>
        <w:ind w:right="249"/>
        <w:rPr>
          <w:rFonts w:ascii="宋体" w:hAnsi="宋体" w:cs="宋体"/>
          <w:sz w:val="28"/>
          <w:szCs w:val="28"/>
        </w:rPr>
      </w:pPr>
      <w:r>
        <w:rPr>
          <w:rFonts w:ascii="宋体" w:hAnsi="宋体" w:cs="宋体"/>
          <w:sz w:val="28"/>
          <w:szCs w:val="28"/>
        </w:rPr>
        <w:t>6</w:t>
      </w:r>
      <w:r>
        <w:rPr>
          <w:rFonts w:hint="eastAsia" w:ascii="宋体" w:hAnsi="宋体" w:cs="宋体"/>
          <w:sz w:val="28"/>
          <w:szCs w:val="28"/>
        </w:rPr>
        <w:t>、投标人具有</w:t>
      </w:r>
      <w:r>
        <w:rPr>
          <w:rFonts w:ascii="宋体" w:hAnsi="宋体" w:cs="宋体"/>
          <w:sz w:val="28"/>
          <w:szCs w:val="28"/>
        </w:rPr>
        <w:t>CT</w:t>
      </w:r>
      <w:r>
        <w:rPr>
          <w:rFonts w:hint="eastAsia" w:ascii="宋体" w:hAnsi="宋体" w:cs="宋体"/>
          <w:sz w:val="28"/>
          <w:szCs w:val="28"/>
        </w:rPr>
        <w:t>、DR、C臂机、口腔C</w:t>
      </w:r>
      <w:r>
        <w:rPr>
          <w:rFonts w:ascii="宋体" w:hAnsi="宋体" w:cs="宋体"/>
          <w:sz w:val="28"/>
          <w:szCs w:val="28"/>
        </w:rPr>
        <w:t>T</w:t>
      </w:r>
      <w:r>
        <w:rPr>
          <w:rFonts w:hint="eastAsia" w:ascii="宋体" w:hAnsi="宋体" w:cs="宋体"/>
          <w:sz w:val="28"/>
          <w:szCs w:val="28"/>
        </w:rPr>
        <w:t>、牙片机、骨密度、D</w:t>
      </w:r>
      <w:r>
        <w:rPr>
          <w:rFonts w:ascii="宋体" w:hAnsi="宋体" w:cs="宋体"/>
          <w:sz w:val="28"/>
          <w:szCs w:val="28"/>
        </w:rPr>
        <w:t>SA</w:t>
      </w:r>
      <w:r>
        <w:rPr>
          <w:rFonts w:hint="eastAsia" w:ascii="宋体" w:hAnsi="宋体" w:cs="宋体"/>
          <w:sz w:val="28"/>
          <w:szCs w:val="28"/>
        </w:rPr>
        <w:t>胃肠机 等1</w:t>
      </w:r>
      <w:r>
        <w:rPr>
          <w:rFonts w:hint="eastAsia" w:ascii="宋体" w:hAnsi="宋体" w:cs="宋体"/>
          <w:sz w:val="28"/>
          <w:szCs w:val="28"/>
          <w:lang w:val="en-US" w:eastAsia="zh-CN"/>
        </w:rPr>
        <w:t>3</w:t>
      </w:r>
      <w:bookmarkStart w:id="2" w:name="_GoBack"/>
      <w:bookmarkEnd w:id="2"/>
      <w:r>
        <w:rPr>
          <w:rFonts w:hint="eastAsia" w:ascii="宋体" w:hAnsi="宋体" w:cs="宋体"/>
          <w:sz w:val="28"/>
          <w:szCs w:val="28"/>
        </w:rPr>
        <w:t>台</w:t>
      </w:r>
      <w:r>
        <w:rPr>
          <w:rFonts w:ascii="宋体" w:hAnsi="宋体" w:cs="宋体"/>
          <w:sz w:val="28"/>
          <w:szCs w:val="28"/>
        </w:rPr>
        <w:t>放射诊疗设备性能检测以及放射诊疗工作场所放射防护检测</w:t>
      </w:r>
      <w:r>
        <w:rPr>
          <w:rFonts w:hint="eastAsia" w:ascii="宋体" w:hAnsi="宋体" w:cs="宋体"/>
          <w:sz w:val="28"/>
          <w:szCs w:val="28"/>
        </w:rPr>
        <w:t>服务相关资质并提供相关资质证明。</w:t>
      </w:r>
    </w:p>
    <w:p w14:paraId="267D6477">
      <w:pPr>
        <w:pStyle w:val="5"/>
        <w:spacing w:after="0" w:line="360" w:lineRule="auto"/>
        <w:rPr>
          <w:rFonts w:ascii="宋体" w:hAnsi="宋体" w:cs="宋体"/>
          <w:sz w:val="28"/>
          <w:szCs w:val="28"/>
        </w:rPr>
      </w:pPr>
      <w:r>
        <w:rPr>
          <w:rFonts w:hint="eastAsia" w:ascii="宋体" w:hAnsi="宋体" w:cs="宋体"/>
          <w:sz w:val="28"/>
          <w:szCs w:val="28"/>
        </w:rPr>
        <w:t>7、投标人不得把中标的项目转包给第三方，报告须由投标公司出具，否则认定为不合格报告，医院有权拒付合同款。</w:t>
      </w:r>
    </w:p>
    <w:p w14:paraId="3FE8C899">
      <w:pPr>
        <w:pStyle w:val="5"/>
        <w:spacing w:after="0" w:line="360" w:lineRule="auto"/>
        <w:rPr>
          <w:rFonts w:ascii="宋体" w:hAnsi="宋体" w:cs="宋体"/>
          <w:b/>
          <w:bCs/>
          <w:sz w:val="28"/>
          <w:szCs w:val="28"/>
        </w:rPr>
      </w:pPr>
      <w:r>
        <w:rPr>
          <w:rFonts w:hint="eastAsia" w:ascii="宋体" w:hAnsi="宋体" w:cs="宋体"/>
          <w:b/>
          <w:bCs/>
          <w:sz w:val="28"/>
          <w:szCs w:val="28"/>
        </w:rPr>
        <w:t>（三）商务要求：</w:t>
      </w:r>
    </w:p>
    <w:p w14:paraId="411ECE5F">
      <w:pPr>
        <w:pStyle w:val="5"/>
        <w:spacing w:after="0" w:line="360" w:lineRule="auto"/>
        <w:rPr>
          <w:rFonts w:ascii="宋体" w:hAnsi="宋体" w:cs="宋体"/>
          <w:sz w:val="28"/>
          <w:szCs w:val="28"/>
        </w:rPr>
      </w:pPr>
      <w:r>
        <w:rPr>
          <w:rFonts w:hint="eastAsia" w:ascii="宋体" w:hAnsi="宋体" w:cs="宋体"/>
          <w:sz w:val="28"/>
          <w:szCs w:val="28"/>
        </w:rPr>
        <w:t>1</w:t>
      </w:r>
      <w:r>
        <w:rPr>
          <w:rFonts w:hint="eastAsia" w:ascii="宋体" w:hAnsi="宋体" w:cs="宋体"/>
          <w:b/>
          <w:bCs/>
          <w:sz w:val="28"/>
          <w:szCs w:val="28"/>
        </w:rPr>
        <w:t>、付款方式：</w:t>
      </w:r>
      <w:r>
        <w:rPr>
          <w:rFonts w:hint="eastAsia" w:ascii="宋体" w:hAnsi="宋体" w:cs="宋体"/>
          <w:sz w:val="28"/>
          <w:szCs w:val="28"/>
        </w:rPr>
        <w:t>取得本项目</w:t>
      </w:r>
      <w:r>
        <w:rPr>
          <w:rFonts w:ascii="宋体" w:hAnsi="宋体"/>
          <w:sz w:val="28"/>
          <w:szCs w:val="28"/>
        </w:rPr>
        <w:t>放射诊疗设备性能检测报告以及放射诊疗工作场所放射防护检测报告</w:t>
      </w:r>
      <w:r>
        <w:rPr>
          <w:rFonts w:hint="eastAsia" w:ascii="宋体" w:hAnsi="宋体" w:cs="宋体"/>
          <w:sz w:val="28"/>
          <w:szCs w:val="28"/>
        </w:rPr>
        <w:t>付合同款。</w:t>
      </w:r>
    </w:p>
    <w:p w14:paraId="3D2F4A7D">
      <w:pPr>
        <w:pStyle w:val="5"/>
        <w:spacing w:after="0" w:line="360" w:lineRule="auto"/>
        <w:rPr>
          <w:rFonts w:ascii="宋体" w:hAnsi="宋体" w:cs="宋体"/>
          <w:sz w:val="28"/>
          <w:szCs w:val="28"/>
        </w:rPr>
      </w:pPr>
      <w:r>
        <w:rPr>
          <w:rFonts w:hint="eastAsia" w:ascii="宋体" w:hAnsi="宋体" w:cs="宋体"/>
          <w:sz w:val="28"/>
          <w:szCs w:val="28"/>
        </w:rPr>
        <w:t>2、投标人应具有类似本项目业绩并提供加盖公司公章的相关合同复印件。</w:t>
      </w:r>
    </w:p>
    <w:p w14:paraId="639F2597">
      <w:pPr>
        <w:pStyle w:val="5"/>
        <w:spacing w:after="0" w:line="360" w:lineRule="auto"/>
        <w:rPr>
          <w:rFonts w:ascii="宋体" w:hAnsi="宋体" w:cs="宋体"/>
          <w:sz w:val="24"/>
          <w:szCs w:val="24"/>
        </w:rPr>
      </w:pPr>
    </w:p>
    <w:p w14:paraId="44E620B7">
      <w:pPr>
        <w:pStyle w:val="5"/>
        <w:spacing w:after="0" w:line="360" w:lineRule="auto"/>
        <w:rPr>
          <w:rFonts w:ascii="宋体" w:hAnsi="宋体" w:cs="宋体"/>
          <w:sz w:val="24"/>
          <w:szCs w:val="24"/>
        </w:rPr>
      </w:pPr>
    </w:p>
    <w:p w14:paraId="7EBEADDC">
      <w:pPr>
        <w:pStyle w:val="5"/>
        <w:spacing w:after="0" w:line="360" w:lineRule="auto"/>
        <w:rPr>
          <w:rFonts w:ascii="宋体" w:hAnsi="宋体" w:cs="宋体"/>
          <w:sz w:val="24"/>
          <w:szCs w:val="24"/>
        </w:rPr>
      </w:pPr>
    </w:p>
    <w:p w14:paraId="4B63519E">
      <w:pPr>
        <w:pStyle w:val="5"/>
        <w:spacing w:after="0" w:line="360" w:lineRule="auto"/>
        <w:rPr>
          <w:rFonts w:ascii="宋体" w:hAnsi="宋体" w:cs="宋体"/>
          <w:sz w:val="24"/>
          <w:szCs w:val="24"/>
        </w:rPr>
      </w:pPr>
    </w:p>
    <w:p w14:paraId="5C55AE51">
      <w:pPr>
        <w:pStyle w:val="5"/>
        <w:spacing w:after="0" w:line="360" w:lineRule="auto"/>
        <w:rPr>
          <w:rFonts w:ascii="宋体" w:hAnsi="宋体" w:cs="宋体"/>
          <w:sz w:val="24"/>
          <w:szCs w:val="24"/>
        </w:rPr>
      </w:pPr>
    </w:p>
    <w:p w14:paraId="5A8F5085">
      <w:pPr>
        <w:numPr>
          <w:ilvl w:val="0"/>
          <w:numId w:val="2"/>
        </w:numPr>
        <w:spacing w:line="360" w:lineRule="auto"/>
        <w:jc w:val="center"/>
        <w:rPr>
          <w:rFonts w:ascii="宋体" w:hAnsi="宋体" w:cs="宋体"/>
          <w:b/>
          <w:color w:val="000000"/>
          <w:sz w:val="32"/>
          <w:szCs w:val="32"/>
        </w:rPr>
      </w:pPr>
      <w:r>
        <w:rPr>
          <w:rFonts w:hint="eastAsia" w:ascii="宋体" w:hAnsi="宋体" w:cs="宋体"/>
          <w:b/>
          <w:color w:val="000000"/>
          <w:sz w:val="32"/>
          <w:szCs w:val="32"/>
        </w:rPr>
        <w:t>评标标准</w:t>
      </w:r>
    </w:p>
    <w:p w14:paraId="5089F51E">
      <w:pPr>
        <w:spacing w:line="360" w:lineRule="auto"/>
        <w:rPr>
          <w:rFonts w:ascii="宋体" w:hAnsi="宋体" w:cs="宋体"/>
          <w:b/>
          <w:color w:val="000000"/>
          <w:sz w:val="28"/>
          <w:szCs w:val="28"/>
        </w:rPr>
      </w:pPr>
    </w:p>
    <w:p w14:paraId="131D448B">
      <w:pPr>
        <w:spacing w:line="360" w:lineRule="auto"/>
        <w:rPr>
          <w:rFonts w:ascii="宋体" w:hAnsi="宋体" w:cs="宋体"/>
          <w:bCs/>
          <w:color w:val="000000"/>
          <w:sz w:val="28"/>
          <w:szCs w:val="28"/>
        </w:rPr>
      </w:pPr>
      <w:r>
        <w:rPr>
          <w:rFonts w:hint="eastAsia" w:ascii="宋体" w:hAnsi="宋体" w:cs="宋体"/>
          <w:bCs/>
          <w:color w:val="000000"/>
          <w:sz w:val="28"/>
          <w:szCs w:val="28"/>
        </w:rPr>
        <w:t>（一）按照招标文件中规定的评审方法和标准，招标小组采用综合评分法对符合性审查合格且提交了最后报价的供应商的响应文件和最后报价进行综合评分。</w:t>
      </w:r>
    </w:p>
    <w:p w14:paraId="08E5AD50">
      <w:pPr>
        <w:spacing w:line="360" w:lineRule="auto"/>
        <w:rPr>
          <w:rFonts w:ascii="宋体" w:hAnsi="宋体" w:cs="宋体"/>
          <w:b/>
          <w:color w:val="000000"/>
          <w:sz w:val="28"/>
          <w:szCs w:val="28"/>
        </w:rPr>
      </w:pPr>
      <w:r>
        <w:rPr>
          <w:rFonts w:hint="eastAsia" w:ascii="宋体" w:hAnsi="宋体" w:cs="宋体"/>
          <w:b/>
          <w:color w:val="000000"/>
          <w:sz w:val="28"/>
          <w:szCs w:val="28"/>
        </w:rPr>
        <w:t>（二）评分细则</w:t>
      </w:r>
    </w:p>
    <w:p w14:paraId="362EC9A9">
      <w:pPr>
        <w:spacing w:line="360" w:lineRule="auto"/>
        <w:rPr>
          <w:rFonts w:ascii="宋体" w:hAnsi="宋体" w:cs="宋体"/>
          <w:bCs/>
          <w:color w:val="000000"/>
          <w:sz w:val="28"/>
          <w:szCs w:val="28"/>
          <w:highlight w:val="none"/>
        </w:rPr>
      </w:pPr>
      <w:r>
        <w:rPr>
          <w:rFonts w:hint="eastAsia" w:ascii="宋体" w:hAnsi="宋体" w:cs="宋体"/>
          <w:bCs/>
          <w:color w:val="000000"/>
          <w:sz w:val="28"/>
          <w:szCs w:val="28"/>
        </w:rPr>
        <w:t>在投标单位的投标文件最大限度地满足招标文件实质性要求的前提下，评标委员会根据价格评审采用综合评分进行评分，</w:t>
      </w:r>
      <w:r>
        <w:rPr>
          <w:rFonts w:hint="eastAsia" w:ascii="宋体" w:hAnsi="宋体" w:cs="宋体"/>
          <w:bCs/>
          <w:color w:val="000000"/>
          <w:sz w:val="28"/>
          <w:szCs w:val="28"/>
          <w:highlight w:val="none"/>
        </w:rPr>
        <w:t>由技术评分、商务评分</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价格评分组成，满分为100 分。</w:t>
      </w:r>
    </w:p>
    <w:p w14:paraId="3AC8FCF6">
      <w:pPr>
        <w:spacing w:line="360" w:lineRule="auto"/>
        <w:rPr>
          <w:rFonts w:hint="eastAsia" w:ascii="宋体" w:hAnsi="宋体" w:eastAsia="宋体" w:cs="宋体"/>
          <w:bCs/>
          <w:color w:val="000000"/>
          <w:sz w:val="24"/>
          <w:szCs w:val="24"/>
        </w:rPr>
      </w:pPr>
    </w:p>
    <w:p w14:paraId="1D08C5CA">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4"/>
          <w:szCs w:val="24"/>
        </w:rPr>
        <w:t>服务需求</w:t>
      </w:r>
    </w:p>
    <w:tbl>
      <w:tblPr>
        <w:tblStyle w:val="11"/>
        <w:tblW w:w="978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268"/>
        <w:gridCol w:w="3402"/>
        <w:gridCol w:w="1417"/>
        <w:gridCol w:w="1418"/>
      </w:tblGrid>
      <w:tr w14:paraId="2E7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277" w:type="dxa"/>
            <w:vAlign w:val="center"/>
          </w:tcPr>
          <w:p w14:paraId="1821BFB5">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分项</w:t>
            </w:r>
          </w:p>
        </w:tc>
        <w:tc>
          <w:tcPr>
            <w:tcW w:w="2268" w:type="dxa"/>
            <w:vAlign w:val="center"/>
          </w:tcPr>
          <w:p w14:paraId="59DDDAE0">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内容</w:t>
            </w:r>
          </w:p>
        </w:tc>
        <w:tc>
          <w:tcPr>
            <w:tcW w:w="3402" w:type="dxa"/>
            <w:vAlign w:val="center"/>
          </w:tcPr>
          <w:p w14:paraId="1665A5CF">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评分标准</w:t>
            </w:r>
          </w:p>
        </w:tc>
        <w:tc>
          <w:tcPr>
            <w:tcW w:w="1417" w:type="dxa"/>
            <w:vAlign w:val="center"/>
          </w:tcPr>
          <w:p w14:paraId="1A8F5792">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计分</w:t>
            </w:r>
          </w:p>
        </w:tc>
        <w:tc>
          <w:tcPr>
            <w:tcW w:w="1418" w:type="dxa"/>
            <w:vAlign w:val="center"/>
          </w:tcPr>
          <w:p w14:paraId="628CB239">
            <w:pPr>
              <w:spacing w:line="220" w:lineRule="atLeast"/>
              <w:ind w:firstLine="280" w:firstLineChars="100"/>
              <w:jc w:val="center"/>
              <w:rPr>
                <w:rFonts w:hint="eastAsia" w:ascii="宋体" w:hAnsi="宋体" w:eastAsia="宋体" w:cs="宋体"/>
                <w:sz w:val="28"/>
                <w:szCs w:val="28"/>
              </w:rPr>
            </w:pPr>
            <w:r>
              <w:rPr>
                <w:rFonts w:hint="eastAsia" w:ascii="宋体" w:hAnsi="宋体" w:eastAsia="宋体" w:cs="宋体"/>
                <w:sz w:val="28"/>
                <w:szCs w:val="28"/>
              </w:rPr>
              <w:t>得分</w:t>
            </w:r>
          </w:p>
        </w:tc>
      </w:tr>
      <w:tr w14:paraId="0B7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tcPr>
          <w:p w14:paraId="38237150">
            <w:pPr>
              <w:spacing w:line="220" w:lineRule="atLeast"/>
              <w:jc w:val="center"/>
              <w:rPr>
                <w:rFonts w:hint="eastAsia" w:ascii="宋体" w:hAnsi="宋体" w:eastAsia="宋体" w:cs="宋体"/>
                <w:sz w:val="28"/>
                <w:szCs w:val="28"/>
              </w:rPr>
            </w:pPr>
          </w:p>
          <w:p w14:paraId="1C366195">
            <w:pPr>
              <w:spacing w:line="220" w:lineRule="atLeast"/>
              <w:jc w:val="center"/>
              <w:rPr>
                <w:rFonts w:hint="eastAsia" w:ascii="宋体" w:hAnsi="宋体" w:eastAsia="宋体" w:cs="宋体"/>
                <w:sz w:val="28"/>
                <w:szCs w:val="28"/>
              </w:rPr>
            </w:pPr>
          </w:p>
          <w:p w14:paraId="3F88C43C">
            <w:pPr>
              <w:spacing w:line="220" w:lineRule="atLeast"/>
              <w:jc w:val="both"/>
              <w:rPr>
                <w:rFonts w:hint="eastAsia" w:ascii="宋体" w:hAnsi="宋体" w:eastAsia="宋体" w:cs="宋体"/>
                <w:sz w:val="28"/>
                <w:szCs w:val="28"/>
              </w:rPr>
            </w:pPr>
          </w:p>
          <w:p w14:paraId="69580BF9">
            <w:pPr>
              <w:spacing w:line="220" w:lineRule="atLeas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技术</w:t>
            </w:r>
          </w:p>
          <w:p w14:paraId="325E79D0">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服务</w:t>
            </w:r>
          </w:p>
          <w:p w14:paraId="08C374D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55</w:t>
            </w:r>
            <w:r>
              <w:rPr>
                <w:rFonts w:hint="eastAsia" w:ascii="宋体" w:hAnsi="宋体" w:eastAsia="宋体" w:cs="宋体"/>
                <w:sz w:val="28"/>
                <w:szCs w:val="28"/>
              </w:rPr>
              <w:t>分)</w:t>
            </w:r>
          </w:p>
          <w:p w14:paraId="102F9F4C">
            <w:pPr>
              <w:widowControl w:val="0"/>
              <w:spacing w:line="220" w:lineRule="atLeast"/>
              <w:jc w:val="both"/>
              <w:rPr>
                <w:rFonts w:hint="eastAsia" w:ascii="宋体" w:hAnsi="宋体" w:eastAsia="宋体" w:cs="宋体"/>
                <w:sz w:val="28"/>
                <w:szCs w:val="28"/>
              </w:rPr>
            </w:pPr>
          </w:p>
        </w:tc>
        <w:tc>
          <w:tcPr>
            <w:tcW w:w="2268" w:type="dxa"/>
            <w:vAlign w:val="center"/>
          </w:tcPr>
          <w:p w14:paraId="56372112">
            <w:pPr>
              <w:spacing w:line="220" w:lineRule="atLeast"/>
              <w:jc w:val="center"/>
              <w:rPr>
                <w:rFonts w:hint="eastAsia" w:ascii="宋体" w:hAnsi="宋体" w:eastAsia="宋体" w:cs="宋体"/>
                <w:sz w:val="28"/>
                <w:szCs w:val="28"/>
              </w:rPr>
            </w:pPr>
            <w:r>
              <w:rPr>
                <w:rFonts w:hint="eastAsia" w:ascii="宋体" w:hAnsi="宋体" w:eastAsia="宋体" w:cs="宋体"/>
                <w:sz w:val="28"/>
                <w:szCs w:val="28"/>
                <w:lang w:val="en-US" w:eastAsia="zh-CN"/>
              </w:rPr>
              <w:t>检测服务</w:t>
            </w:r>
            <w:r>
              <w:rPr>
                <w:rFonts w:hint="eastAsia" w:ascii="宋体" w:hAnsi="宋体" w:eastAsia="宋体" w:cs="宋体"/>
                <w:sz w:val="28"/>
                <w:szCs w:val="28"/>
              </w:rPr>
              <w:t xml:space="preserve">安排的合理性 </w:t>
            </w:r>
          </w:p>
          <w:p w14:paraId="517EA171">
            <w:pPr>
              <w:spacing w:line="220" w:lineRule="atLeast"/>
              <w:jc w:val="center"/>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p w14:paraId="36A7CBFA">
            <w:pPr>
              <w:pStyle w:val="21"/>
              <w:spacing w:line="220" w:lineRule="atLeast"/>
              <w:ind w:left="360" w:firstLine="0" w:firstLineChars="0"/>
              <w:jc w:val="center"/>
              <w:rPr>
                <w:rFonts w:hint="eastAsia" w:ascii="宋体" w:hAnsi="宋体" w:eastAsia="宋体" w:cs="宋体"/>
                <w:sz w:val="28"/>
                <w:szCs w:val="28"/>
              </w:rPr>
            </w:pPr>
          </w:p>
        </w:tc>
        <w:tc>
          <w:tcPr>
            <w:tcW w:w="3402" w:type="dxa"/>
          </w:tcPr>
          <w:p w14:paraId="0DEA2AAF">
            <w:pPr>
              <w:spacing w:line="220" w:lineRule="atLeas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是否制定了详细的放射卫生技术服务操作规范</w:t>
            </w:r>
            <w:r>
              <w:rPr>
                <w:rFonts w:hint="eastAsia" w:ascii="宋体" w:hAnsi="宋体" w:cs="宋体"/>
                <w:sz w:val="28"/>
                <w:szCs w:val="28"/>
                <w:lang w:val="en-US" w:eastAsia="zh-CN"/>
              </w:rPr>
              <w:t>和检测服务计划。</w:t>
            </w:r>
          </w:p>
          <w:p w14:paraId="0F4A93D5">
            <w:pPr>
              <w:spacing w:line="220" w:lineRule="atLeast"/>
              <w:rPr>
                <w:rFonts w:hint="eastAsia" w:ascii="宋体" w:hAnsi="宋体" w:eastAsia="宋体" w:cs="宋体"/>
                <w:sz w:val="28"/>
                <w:szCs w:val="28"/>
              </w:rPr>
            </w:pPr>
            <w:r>
              <w:rPr>
                <w:rFonts w:hint="eastAsia" w:ascii="宋体" w:hAnsi="宋体" w:eastAsia="宋体" w:cs="宋体"/>
                <w:sz w:val="28"/>
                <w:szCs w:val="28"/>
              </w:rPr>
              <w:t>优：</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p w14:paraId="41A8B7BF">
            <w:pPr>
              <w:spacing w:line="220" w:lineRule="atLeast"/>
              <w:rPr>
                <w:rFonts w:hint="eastAsia" w:ascii="宋体" w:hAnsi="宋体" w:eastAsia="宋体" w:cs="宋体"/>
                <w:sz w:val="28"/>
                <w:szCs w:val="28"/>
              </w:rPr>
            </w:pPr>
            <w:r>
              <w:rPr>
                <w:rFonts w:hint="eastAsia" w:ascii="宋体" w:hAnsi="宋体" w:eastAsia="宋体" w:cs="宋体"/>
                <w:sz w:val="28"/>
                <w:szCs w:val="28"/>
              </w:rPr>
              <w:t>良：</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2D600C52">
            <w:pPr>
              <w:spacing w:line="220" w:lineRule="atLeast"/>
              <w:rPr>
                <w:rFonts w:hint="eastAsia" w:ascii="宋体" w:hAnsi="宋体" w:eastAsia="宋体" w:cs="宋体"/>
                <w:sz w:val="28"/>
                <w:szCs w:val="28"/>
              </w:rPr>
            </w:pPr>
            <w:r>
              <w:rPr>
                <w:rFonts w:hint="eastAsia" w:ascii="宋体" w:hAnsi="宋体" w:eastAsia="宋体" w:cs="宋体"/>
                <w:sz w:val="28"/>
                <w:szCs w:val="28"/>
              </w:rPr>
              <w:t>一般：</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tc>
        <w:tc>
          <w:tcPr>
            <w:tcW w:w="1417" w:type="dxa"/>
          </w:tcPr>
          <w:p w14:paraId="16A87010">
            <w:pPr>
              <w:spacing w:line="220" w:lineRule="atLeast"/>
              <w:rPr>
                <w:rFonts w:hint="eastAsia" w:ascii="宋体" w:hAnsi="宋体" w:eastAsia="宋体" w:cs="宋体"/>
                <w:sz w:val="28"/>
                <w:szCs w:val="28"/>
              </w:rPr>
            </w:pPr>
          </w:p>
        </w:tc>
        <w:tc>
          <w:tcPr>
            <w:tcW w:w="1418" w:type="dxa"/>
          </w:tcPr>
          <w:p w14:paraId="15F7E9AF">
            <w:pPr>
              <w:spacing w:line="220" w:lineRule="atLeast"/>
              <w:rPr>
                <w:rFonts w:hint="eastAsia" w:ascii="宋体" w:hAnsi="宋体" w:eastAsia="宋体" w:cs="宋体"/>
                <w:sz w:val="28"/>
                <w:szCs w:val="28"/>
              </w:rPr>
            </w:pPr>
          </w:p>
        </w:tc>
      </w:tr>
      <w:tr w14:paraId="5D90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10ECE2E">
            <w:pPr>
              <w:widowControl w:val="0"/>
              <w:spacing w:line="220" w:lineRule="atLeast"/>
              <w:jc w:val="both"/>
              <w:rPr>
                <w:rFonts w:hint="eastAsia" w:ascii="宋体" w:hAnsi="宋体" w:eastAsia="宋体" w:cs="宋体"/>
                <w:sz w:val="28"/>
                <w:szCs w:val="28"/>
              </w:rPr>
            </w:pPr>
          </w:p>
        </w:tc>
        <w:tc>
          <w:tcPr>
            <w:tcW w:w="2268" w:type="dxa"/>
            <w:vAlign w:val="center"/>
          </w:tcPr>
          <w:p w14:paraId="52AEC1E8">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应急保障预案的完备性</w:t>
            </w:r>
          </w:p>
          <w:p w14:paraId="6238A60B">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20</w:t>
            </w:r>
            <w:r>
              <w:rPr>
                <w:rFonts w:hint="eastAsia" w:ascii="宋体" w:hAnsi="宋体" w:eastAsia="宋体" w:cs="宋体"/>
                <w:sz w:val="28"/>
                <w:szCs w:val="28"/>
              </w:rPr>
              <w:t>分)</w:t>
            </w:r>
          </w:p>
          <w:p w14:paraId="1F3E0D2C">
            <w:pPr>
              <w:pStyle w:val="21"/>
              <w:spacing w:line="220" w:lineRule="atLeast"/>
              <w:ind w:left="360" w:firstLine="0" w:firstLineChars="0"/>
              <w:jc w:val="center"/>
              <w:rPr>
                <w:rFonts w:hint="eastAsia" w:ascii="宋体" w:hAnsi="宋体" w:eastAsia="宋体" w:cs="宋体"/>
                <w:sz w:val="28"/>
                <w:szCs w:val="28"/>
              </w:rPr>
            </w:pPr>
          </w:p>
        </w:tc>
        <w:tc>
          <w:tcPr>
            <w:tcW w:w="3402" w:type="dxa"/>
          </w:tcPr>
          <w:p w14:paraId="7CD2819E">
            <w:pPr>
              <w:spacing w:line="220" w:lineRule="atLeast"/>
              <w:rPr>
                <w:rFonts w:hint="eastAsia" w:ascii="宋体" w:hAnsi="宋体" w:eastAsia="宋体" w:cs="宋体"/>
                <w:sz w:val="28"/>
                <w:szCs w:val="28"/>
              </w:rPr>
            </w:pPr>
            <w:r>
              <w:rPr>
                <w:rFonts w:hint="eastAsia" w:ascii="宋体" w:hAnsi="宋体" w:eastAsia="宋体" w:cs="宋体"/>
                <w:sz w:val="28"/>
                <w:szCs w:val="28"/>
              </w:rPr>
              <w:t>应急预案是否全面、具体、</w:t>
            </w:r>
            <w:r>
              <w:rPr>
                <w:rFonts w:hint="eastAsia" w:ascii="宋体" w:hAnsi="宋体" w:eastAsia="宋体" w:cs="宋体"/>
                <w:sz w:val="28"/>
                <w:szCs w:val="28"/>
                <w:lang w:val="en-US" w:eastAsia="zh-CN"/>
              </w:rPr>
              <w:t>方案科学且合理</w:t>
            </w:r>
            <w:r>
              <w:rPr>
                <w:rFonts w:hint="eastAsia" w:ascii="宋体" w:hAnsi="宋体" w:eastAsia="宋体" w:cs="宋体"/>
                <w:sz w:val="28"/>
                <w:szCs w:val="28"/>
              </w:rPr>
              <w:t>。</w:t>
            </w:r>
          </w:p>
          <w:p w14:paraId="54418060">
            <w:pPr>
              <w:tabs>
                <w:tab w:val="left" w:pos="2239"/>
              </w:tabs>
              <w:spacing w:line="220" w:lineRule="atLeast"/>
              <w:rPr>
                <w:rFonts w:hint="eastAsia" w:ascii="宋体" w:hAnsi="宋体" w:eastAsia="宋体" w:cs="宋体"/>
                <w:sz w:val="28"/>
                <w:szCs w:val="28"/>
                <w:lang w:eastAsia="zh-CN"/>
              </w:rPr>
            </w:pPr>
            <w:r>
              <w:rPr>
                <w:rFonts w:hint="eastAsia" w:ascii="宋体" w:hAnsi="宋体" w:eastAsia="宋体" w:cs="宋体"/>
                <w:sz w:val="28"/>
                <w:szCs w:val="28"/>
              </w:rPr>
              <w:t>优：</w:t>
            </w:r>
            <w:r>
              <w:rPr>
                <w:rFonts w:hint="eastAsia" w:ascii="宋体" w:hAnsi="宋体" w:cs="宋体"/>
                <w:sz w:val="28"/>
                <w:szCs w:val="28"/>
                <w:lang w:val="en-US" w:eastAsia="zh-CN"/>
              </w:rPr>
              <w:t>20</w:t>
            </w:r>
            <w:r>
              <w:rPr>
                <w:rFonts w:hint="eastAsia" w:ascii="宋体" w:hAnsi="宋体" w:eastAsia="宋体" w:cs="宋体"/>
                <w:sz w:val="28"/>
                <w:szCs w:val="28"/>
              </w:rPr>
              <w:t>分；</w:t>
            </w:r>
            <w:r>
              <w:rPr>
                <w:rFonts w:hint="eastAsia" w:ascii="宋体" w:hAnsi="宋体" w:cs="宋体"/>
                <w:sz w:val="28"/>
                <w:szCs w:val="28"/>
                <w:lang w:eastAsia="zh-CN"/>
              </w:rPr>
              <w:tab/>
            </w:r>
          </w:p>
          <w:p w14:paraId="139C375F">
            <w:pPr>
              <w:spacing w:line="220" w:lineRule="atLeast"/>
              <w:rPr>
                <w:rFonts w:hint="eastAsia" w:ascii="宋体" w:hAnsi="宋体" w:eastAsia="宋体" w:cs="宋体"/>
                <w:sz w:val="28"/>
                <w:szCs w:val="28"/>
              </w:rPr>
            </w:pPr>
            <w:r>
              <w:rPr>
                <w:rFonts w:hint="eastAsia" w:ascii="宋体" w:hAnsi="宋体" w:eastAsia="宋体" w:cs="宋体"/>
                <w:sz w:val="28"/>
                <w:szCs w:val="28"/>
              </w:rPr>
              <w:t>良：</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5962ACB6">
            <w:pPr>
              <w:spacing w:line="220" w:lineRule="atLeast"/>
              <w:rPr>
                <w:rFonts w:hint="eastAsia" w:ascii="宋体" w:hAnsi="宋体" w:eastAsia="宋体" w:cs="宋体"/>
                <w:sz w:val="28"/>
                <w:szCs w:val="28"/>
              </w:rPr>
            </w:pPr>
            <w:r>
              <w:rPr>
                <w:rFonts w:hint="eastAsia" w:ascii="宋体" w:hAnsi="宋体" w:eastAsia="宋体" w:cs="宋体"/>
                <w:sz w:val="28"/>
                <w:szCs w:val="28"/>
              </w:rPr>
              <w:t>一般：</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tc>
        <w:tc>
          <w:tcPr>
            <w:tcW w:w="1417" w:type="dxa"/>
          </w:tcPr>
          <w:p w14:paraId="3FB5CD2B">
            <w:pPr>
              <w:spacing w:line="220" w:lineRule="atLeast"/>
              <w:rPr>
                <w:rFonts w:hint="eastAsia" w:ascii="宋体" w:hAnsi="宋体" w:eastAsia="宋体" w:cs="宋体"/>
                <w:sz w:val="28"/>
                <w:szCs w:val="28"/>
              </w:rPr>
            </w:pPr>
          </w:p>
        </w:tc>
        <w:tc>
          <w:tcPr>
            <w:tcW w:w="1418" w:type="dxa"/>
          </w:tcPr>
          <w:p w14:paraId="4B23FEDA">
            <w:pPr>
              <w:spacing w:line="220" w:lineRule="atLeast"/>
              <w:rPr>
                <w:rFonts w:hint="eastAsia" w:ascii="宋体" w:hAnsi="宋体" w:eastAsia="宋体" w:cs="宋体"/>
                <w:sz w:val="28"/>
                <w:szCs w:val="28"/>
              </w:rPr>
            </w:pPr>
          </w:p>
        </w:tc>
      </w:tr>
      <w:tr w14:paraId="6EEB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710ECD9B">
            <w:pPr>
              <w:widowControl w:val="0"/>
              <w:spacing w:line="220" w:lineRule="atLeast"/>
              <w:jc w:val="both"/>
              <w:rPr>
                <w:rFonts w:hint="eastAsia" w:ascii="宋体" w:hAnsi="宋体" w:eastAsia="宋体" w:cs="宋体"/>
                <w:sz w:val="28"/>
                <w:szCs w:val="28"/>
              </w:rPr>
            </w:pPr>
          </w:p>
        </w:tc>
        <w:tc>
          <w:tcPr>
            <w:tcW w:w="2268" w:type="dxa"/>
            <w:vAlign w:val="center"/>
          </w:tcPr>
          <w:p w14:paraId="03092EB4">
            <w:pPr>
              <w:spacing w:line="220" w:lineRule="atLeast"/>
              <w:jc w:val="center"/>
              <w:rPr>
                <w:rFonts w:hint="eastAsia" w:ascii="宋体" w:hAnsi="宋体" w:eastAsia="宋体" w:cs="宋体"/>
                <w:sz w:val="28"/>
                <w:szCs w:val="28"/>
              </w:rPr>
            </w:pPr>
            <w:r>
              <w:rPr>
                <w:rFonts w:hint="eastAsia" w:ascii="宋体" w:hAnsi="宋体" w:cs="宋体"/>
                <w:sz w:val="28"/>
                <w:szCs w:val="28"/>
                <w:lang w:val="en-US" w:eastAsia="zh-CN"/>
              </w:rPr>
              <w:t>技术</w:t>
            </w:r>
            <w:r>
              <w:rPr>
                <w:rFonts w:hint="eastAsia" w:ascii="宋体" w:hAnsi="宋体" w:eastAsia="宋体" w:cs="宋体"/>
                <w:sz w:val="28"/>
                <w:szCs w:val="28"/>
              </w:rPr>
              <w:t>人员</w:t>
            </w:r>
          </w:p>
          <w:p w14:paraId="4318CE48">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配备方案</w:t>
            </w:r>
          </w:p>
          <w:p w14:paraId="24665CD7">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( 10分 )</w:t>
            </w:r>
          </w:p>
          <w:p w14:paraId="54856181">
            <w:pPr>
              <w:pStyle w:val="21"/>
              <w:spacing w:line="220" w:lineRule="atLeast"/>
              <w:ind w:left="360" w:firstLine="0" w:firstLineChars="0"/>
              <w:jc w:val="center"/>
              <w:rPr>
                <w:rFonts w:hint="eastAsia" w:ascii="宋体" w:hAnsi="宋体" w:eastAsia="宋体" w:cs="宋体"/>
                <w:sz w:val="28"/>
                <w:szCs w:val="28"/>
              </w:rPr>
            </w:pPr>
          </w:p>
        </w:tc>
        <w:tc>
          <w:tcPr>
            <w:tcW w:w="3402" w:type="dxa"/>
          </w:tcPr>
          <w:p w14:paraId="630F01BC">
            <w:pPr>
              <w:spacing w:line="220" w:lineRule="atLeast"/>
              <w:rPr>
                <w:rFonts w:hint="eastAsia" w:ascii="宋体" w:hAnsi="宋体" w:eastAsia="宋体" w:cs="宋体"/>
                <w:sz w:val="28"/>
                <w:szCs w:val="28"/>
              </w:rPr>
            </w:pPr>
            <w:r>
              <w:rPr>
                <w:rFonts w:hint="eastAsia" w:ascii="宋体" w:hAnsi="宋体" w:eastAsia="宋体" w:cs="宋体"/>
                <w:sz w:val="28"/>
                <w:szCs w:val="28"/>
              </w:rPr>
              <w:t>响应供应商的放射评价检测技术人员具有放射防护培训合格证。</w:t>
            </w:r>
          </w:p>
          <w:p w14:paraId="0D6A3C97">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10人</w:t>
            </w: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6E89F1A3">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5人以上</w:t>
            </w:r>
            <w:r>
              <w:rPr>
                <w:rFonts w:hint="eastAsia" w:ascii="宋体" w:hAnsi="宋体" w:eastAsia="宋体" w:cs="宋体"/>
                <w:sz w:val="28"/>
                <w:szCs w:val="28"/>
              </w:rPr>
              <w:t>：5分；</w:t>
            </w:r>
          </w:p>
        </w:tc>
        <w:tc>
          <w:tcPr>
            <w:tcW w:w="1417" w:type="dxa"/>
          </w:tcPr>
          <w:p w14:paraId="26EEB50C">
            <w:pPr>
              <w:spacing w:line="220" w:lineRule="atLeast"/>
              <w:rPr>
                <w:rFonts w:hint="eastAsia" w:ascii="宋体" w:hAnsi="宋体" w:eastAsia="宋体" w:cs="宋体"/>
                <w:sz w:val="28"/>
                <w:szCs w:val="28"/>
              </w:rPr>
            </w:pPr>
          </w:p>
        </w:tc>
        <w:tc>
          <w:tcPr>
            <w:tcW w:w="1418" w:type="dxa"/>
          </w:tcPr>
          <w:p w14:paraId="2A830670">
            <w:pPr>
              <w:spacing w:line="220" w:lineRule="atLeast"/>
              <w:rPr>
                <w:rFonts w:hint="eastAsia" w:ascii="宋体" w:hAnsi="宋体" w:eastAsia="宋体" w:cs="宋体"/>
                <w:sz w:val="28"/>
                <w:szCs w:val="28"/>
              </w:rPr>
            </w:pPr>
          </w:p>
        </w:tc>
      </w:tr>
      <w:tr w14:paraId="0185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1277" w:type="dxa"/>
            <w:vMerge w:val="continue"/>
          </w:tcPr>
          <w:p w14:paraId="16CD8DF3">
            <w:pPr>
              <w:widowControl w:val="0"/>
              <w:spacing w:line="220" w:lineRule="atLeast"/>
              <w:jc w:val="both"/>
              <w:rPr>
                <w:rFonts w:hint="eastAsia" w:ascii="宋体" w:hAnsi="宋体" w:eastAsia="宋体" w:cs="宋体"/>
                <w:sz w:val="28"/>
                <w:szCs w:val="28"/>
              </w:rPr>
            </w:pPr>
          </w:p>
        </w:tc>
        <w:tc>
          <w:tcPr>
            <w:tcW w:w="2268" w:type="dxa"/>
            <w:vAlign w:val="center"/>
          </w:tcPr>
          <w:p w14:paraId="74FD06FC">
            <w:pPr>
              <w:pStyle w:val="21"/>
              <w:spacing w:line="220" w:lineRule="atLeast"/>
              <w:ind w:left="36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服务时效</w:t>
            </w:r>
          </w:p>
          <w:p w14:paraId="0B18A66D">
            <w:pPr>
              <w:pStyle w:val="21"/>
              <w:spacing w:line="220" w:lineRule="atLeast"/>
              <w:ind w:left="36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分）</w:t>
            </w:r>
          </w:p>
        </w:tc>
        <w:tc>
          <w:tcPr>
            <w:tcW w:w="3402" w:type="dxa"/>
          </w:tcPr>
          <w:p w14:paraId="5B927631">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如医院有放射卫生技术服务的相关事项需放射卫生技术服务公司人员到场沟通的，需在规定时间内到达。</w:t>
            </w:r>
          </w:p>
          <w:p w14:paraId="14F304B5">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2小时到达：1</w:t>
            </w:r>
            <w:r>
              <w:rPr>
                <w:rFonts w:hint="eastAsia" w:hAnsi="宋体" w:cs="宋体"/>
                <w:sz w:val="28"/>
                <w:szCs w:val="28"/>
                <w:lang w:val="en-US" w:eastAsia="zh-CN"/>
              </w:rPr>
              <w:t>0</w:t>
            </w:r>
            <w:r>
              <w:rPr>
                <w:rFonts w:hint="eastAsia" w:ascii="宋体" w:hAnsi="宋体" w:eastAsia="宋体" w:cs="宋体"/>
                <w:sz w:val="28"/>
                <w:szCs w:val="28"/>
                <w:lang w:val="en-US" w:eastAsia="zh-CN"/>
              </w:rPr>
              <w:t>分</w:t>
            </w:r>
          </w:p>
          <w:p w14:paraId="0BC812BD">
            <w:pPr>
              <w:pStyle w:val="8"/>
              <w:bidi w:val="0"/>
              <w:rPr>
                <w:rFonts w:hint="eastAsia" w:ascii="宋体" w:hAnsi="宋体" w:eastAsia="宋体" w:cs="宋体"/>
                <w:sz w:val="28"/>
                <w:szCs w:val="28"/>
                <w:lang w:val="en-US" w:eastAsia="zh-CN"/>
              </w:rPr>
            </w:pPr>
            <w:r>
              <w:rPr>
                <w:rFonts w:hint="eastAsia" w:hAnsi="宋体" w:cs="宋体"/>
                <w:sz w:val="28"/>
                <w:szCs w:val="28"/>
                <w:lang w:val="en-US" w:eastAsia="zh-CN"/>
              </w:rPr>
              <w:t>8</w:t>
            </w:r>
            <w:r>
              <w:rPr>
                <w:rFonts w:hint="eastAsia" w:ascii="宋体" w:hAnsi="宋体" w:eastAsia="宋体" w:cs="宋体"/>
                <w:sz w:val="28"/>
                <w:szCs w:val="28"/>
                <w:lang w:val="en-US" w:eastAsia="zh-CN"/>
              </w:rPr>
              <w:t>小时到达：</w:t>
            </w:r>
            <w:r>
              <w:rPr>
                <w:rFonts w:hint="eastAsia" w:hAnsi="宋体" w:cs="宋体"/>
                <w:sz w:val="28"/>
                <w:szCs w:val="28"/>
                <w:lang w:val="en-US" w:eastAsia="zh-CN"/>
              </w:rPr>
              <w:t>5</w:t>
            </w:r>
            <w:r>
              <w:rPr>
                <w:rFonts w:hint="eastAsia" w:ascii="宋体" w:hAnsi="宋体" w:eastAsia="宋体" w:cs="宋体"/>
                <w:sz w:val="28"/>
                <w:szCs w:val="28"/>
                <w:lang w:val="en-US" w:eastAsia="zh-CN"/>
              </w:rPr>
              <w:t>分</w:t>
            </w:r>
          </w:p>
        </w:tc>
        <w:tc>
          <w:tcPr>
            <w:tcW w:w="1417" w:type="dxa"/>
          </w:tcPr>
          <w:p w14:paraId="5AC01D7E">
            <w:pPr>
              <w:spacing w:line="220" w:lineRule="atLeast"/>
              <w:rPr>
                <w:rFonts w:hint="eastAsia" w:ascii="宋体" w:hAnsi="宋体" w:eastAsia="宋体" w:cs="宋体"/>
                <w:sz w:val="28"/>
                <w:szCs w:val="28"/>
              </w:rPr>
            </w:pPr>
          </w:p>
        </w:tc>
        <w:tc>
          <w:tcPr>
            <w:tcW w:w="1418" w:type="dxa"/>
          </w:tcPr>
          <w:p w14:paraId="7BBE7439">
            <w:pPr>
              <w:spacing w:line="220" w:lineRule="atLeast"/>
              <w:rPr>
                <w:rFonts w:hint="eastAsia" w:ascii="宋体" w:hAnsi="宋体" w:eastAsia="宋体" w:cs="宋体"/>
                <w:sz w:val="28"/>
                <w:szCs w:val="28"/>
              </w:rPr>
            </w:pPr>
          </w:p>
        </w:tc>
      </w:tr>
      <w:tr w14:paraId="3A5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53D1521C">
            <w:pPr>
              <w:spacing w:line="220" w:lineRule="atLeast"/>
              <w:jc w:val="center"/>
              <w:rPr>
                <w:rFonts w:hint="eastAsia" w:ascii="宋体" w:hAnsi="宋体" w:cs="宋体"/>
                <w:sz w:val="28"/>
                <w:szCs w:val="28"/>
                <w:lang w:val="en-US" w:eastAsia="zh-CN"/>
              </w:rPr>
            </w:pPr>
            <w:r>
              <w:rPr>
                <w:rFonts w:hint="eastAsia" w:ascii="宋体" w:hAnsi="宋体" w:cs="宋体"/>
                <w:sz w:val="28"/>
                <w:szCs w:val="28"/>
                <w:lang w:val="en-US" w:eastAsia="zh-CN"/>
              </w:rPr>
              <w:t>商务</w:t>
            </w:r>
          </w:p>
          <w:p w14:paraId="44481E46">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25</w:t>
            </w:r>
            <w:r>
              <w:rPr>
                <w:rFonts w:hint="eastAsia" w:ascii="宋体" w:hAnsi="宋体" w:eastAsia="宋体" w:cs="宋体"/>
                <w:sz w:val="28"/>
                <w:szCs w:val="28"/>
              </w:rPr>
              <w:t>分)</w:t>
            </w:r>
          </w:p>
          <w:p w14:paraId="4F40FAFD">
            <w:pPr>
              <w:spacing w:line="220" w:lineRule="atLeast"/>
              <w:jc w:val="center"/>
              <w:rPr>
                <w:rFonts w:hint="eastAsia" w:ascii="宋体" w:hAnsi="宋体" w:eastAsia="宋体" w:cs="宋体"/>
                <w:sz w:val="28"/>
                <w:szCs w:val="28"/>
              </w:rPr>
            </w:pPr>
          </w:p>
        </w:tc>
        <w:tc>
          <w:tcPr>
            <w:tcW w:w="2268" w:type="dxa"/>
            <w:vAlign w:val="center"/>
          </w:tcPr>
          <w:p w14:paraId="07A08FC6">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企业资质</w:t>
            </w:r>
          </w:p>
          <w:p w14:paraId="3E31B8A3">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(10分)</w:t>
            </w:r>
          </w:p>
        </w:tc>
        <w:tc>
          <w:tcPr>
            <w:tcW w:w="3402" w:type="dxa"/>
          </w:tcPr>
          <w:p w14:paraId="773A7471">
            <w:pPr>
              <w:pStyle w:val="8"/>
              <w:bidi w:val="0"/>
              <w:rPr>
                <w:rFonts w:hint="eastAsia" w:ascii="宋体" w:hAnsi="宋体" w:eastAsia="宋体" w:cs="宋体"/>
                <w:sz w:val="28"/>
                <w:szCs w:val="28"/>
              </w:rPr>
            </w:pPr>
            <w:r>
              <w:rPr>
                <w:rFonts w:hint="eastAsia" w:ascii="宋体" w:hAnsi="宋体" w:eastAsia="宋体" w:cs="宋体"/>
                <w:sz w:val="28"/>
                <w:szCs w:val="28"/>
                <w:lang w:val="en-US" w:eastAsia="zh-CN"/>
              </w:rPr>
              <w:t>供应商应提供</w:t>
            </w:r>
            <w:r>
              <w:rPr>
                <w:rFonts w:hint="eastAsia" w:ascii="宋体" w:hAnsi="宋体" w:eastAsia="宋体" w:cs="宋体"/>
                <w:sz w:val="28"/>
                <w:szCs w:val="28"/>
              </w:rPr>
              <w:t>放射卫生技术服务机构资质</w:t>
            </w:r>
          </w:p>
          <w:p w14:paraId="43C2F563">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甲级</w:t>
            </w:r>
            <w:r>
              <w:rPr>
                <w:rFonts w:hint="eastAsia" w:ascii="宋体" w:hAnsi="宋体" w:eastAsia="宋体" w:cs="宋体"/>
                <w:sz w:val="28"/>
                <w:szCs w:val="28"/>
              </w:rPr>
              <w:t>：10分；</w:t>
            </w:r>
          </w:p>
          <w:p w14:paraId="3EDB5FD7">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乙级</w:t>
            </w:r>
            <w:r>
              <w:rPr>
                <w:rFonts w:hint="eastAsia" w:ascii="宋体" w:hAnsi="宋体" w:eastAsia="宋体" w:cs="宋体"/>
                <w:sz w:val="28"/>
                <w:szCs w:val="28"/>
              </w:rPr>
              <w:t>：5分；</w:t>
            </w:r>
          </w:p>
        </w:tc>
        <w:tc>
          <w:tcPr>
            <w:tcW w:w="1417" w:type="dxa"/>
          </w:tcPr>
          <w:p w14:paraId="18F0343D">
            <w:pPr>
              <w:spacing w:line="220" w:lineRule="atLeast"/>
              <w:rPr>
                <w:rFonts w:hint="eastAsia" w:ascii="宋体" w:hAnsi="宋体" w:eastAsia="宋体" w:cs="宋体"/>
                <w:sz w:val="28"/>
                <w:szCs w:val="28"/>
              </w:rPr>
            </w:pPr>
          </w:p>
        </w:tc>
        <w:tc>
          <w:tcPr>
            <w:tcW w:w="1418" w:type="dxa"/>
          </w:tcPr>
          <w:p w14:paraId="219764DE">
            <w:pPr>
              <w:spacing w:line="220" w:lineRule="atLeast"/>
              <w:rPr>
                <w:rFonts w:hint="eastAsia" w:ascii="宋体" w:hAnsi="宋体" w:eastAsia="宋体" w:cs="宋体"/>
                <w:sz w:val="28"/>
                <w:szCs w:val="28"/>
              </w:rPr>
            </w:pPr>
          </w:p>
        </w:tc>
      </w:tr>
      <w:tr w14:paraId="2D6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46DAF8A">
            <w:pPr>
              <w:spacing w:line="220" w:lineRule="atLeast"/>
              <w:jc w:val="center"/>
              <w:rPr>
                <w:rFonts w:hint="eastAsia" w:ascii="宋体" w:hAnsi="宋体" w:eastAsia="宋体" w:cs="宋体"/>
                <w:sz w:val="28"/>
                <w:szCs w:val="28"/>
              </w:rPr>
            </w:pPr>
          </w:p>
        </w:tc>
        <w:tc>
          <w:tcPr>
            <w:tcW w:w="2268" w:type="dxa"/>
            <w:vAlign w:val="center"/>
          </w:tcPr>
          <w:p w14:paraId="451963A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xml:space="preserve">类似项目业绩 </w:t>
            </w:r>
          </w:p>
          <w:p w14:paraId="1443A749">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tc>
        <w:tc>
          <w:tcPr>
            <w:tcW w:w="3402" w:type="dxa"/>
          </w:tcPr>
          <w:p w14:paraId="312EFD96">
            <w:pPr>
              <w:spacing w:line="220" w:lineRule="atLeast"/>
              <w:rPr>
                <w:rFonts w:hint="eastAsia" w:ascii="宋体" w:hAnsi="宋体" w:eastAsia="宋体" w:cs="宋体"/>
                <w:sz w:val="28"/>
                <w:szCs w:val="28"/>
              </w:rPr>
            </w:pPr>
            <w:r>
              <w:rPr>
                <w:rFonts w:hint="eastAsia" w:ascii="宋体" w:hAnsi="宋体" w:cs="宋体"/>
                <w:sz w:val="28"/>
                <w:szCs w:val="28"/>
                <w:lang w:val="en-US" w:eastAsia="zh-CN"/>
              </w:rPr>
              <w:t>近三年内在</w:t>
            </w:r>
            <w:r>
              <w:rPr>
                <w:rFonts w:hint="eastAsia" w:ascii="宋体" w:hAnsi="宋体" w:eastAsia="宋体" w:cs="宋体"/>
                <w:sz w:val="28"/>
                <w:szCs w:val="28"/>
              </w:rPr>
              <w:t>江西省内三甲医院同类检测项目的服务合同（评审依据：响应文件中提供合同复印件和网站中标（成交）公告截图，未提供或提供的不符合要求的不得分）</w:t>
            </w:r>
          </w:p>
          <w:p w14:paraId="110B9AD7">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提供3份：15分</w:t>
            </w:r>
          </w:p>
          <w:p w14:paraId="171ECF18">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提供2份：10分</w:t>
            </w:r>
          </w:p>
          <w:p w14:paraId="36AEB83B">
            <w:pPr>
              <w:pStyle w:val="8"/>
              <w:bidi w:val="0"/>
              <w:rPr>
                <w:rFonts w:hint="eastAsia" w:ascii="宋体" w:hAnsi="宋体" w:eastAsia="宋体" w:cs="宋体"/>
                <w:sz w:val="28"/>
                <w:szCs w:val="28"/>
              </w:rPr>
            </w:pPr>
            <w:r>
              <w:rPr>
                <w:rFonts w:hint="eastAsia" w:ascii="宋体" w:hAnsi="宋体" w:eastAsia="宋体" w:cs="宋体"/>
                <w:sz w:val="28"/>
                <w:szCs w:val="28"/>
                <w:lang w:val="en-US" w:eastAsia="zh-CN"/>
              </w:rPr>
              <w:t>提供1份：5分</w:t>
            </w:r>
          </w:p>
        </w:tc>
        <w:tc>
          <w:tcPr>
            <w:tcW w:w="1417" w:type="dxa"/>
          </w:tcPr>
          <w:p w14:paraId="5BC3C292">
            <w:pPr>
              <w:spacing w:line="220" w:lineRule="atLeast"/>
              <w:rPr>
                <w:rFonts w:hint="eastAsia" w:ascii="宋体" w:hAnsi="宋体" w:eastAsia="宋体" w:cs="宋体"/>
                <w:sz w:val="28"/>
                <w:szCs w:val="28"/>
              </w:rPr>
            </w:pPr>
          </w:p>
        </w:tc>
        <w:tc>
          <w:tcPr>
            <w:tcW w:w="1418" w:type="dxa"/>
          </w:tcPr>
          <w:p w14:paraId="75048721">
            <w:pPr>
              <w:spacing w:line="220" w:lineRule="atLeast"/>
              <w:rPr>
                <w:rFonts w:hint="eastAsia" w:ascii="宋体" w:hAnsi="宋体" w:eastAsia="宋体" w:cs="宋体"/>
                <w:sz w:val="28"/>
                <w:szCs w:val="28"/>
              </w:rPr>
            </w:pPr>
          </w:p>
        </w:tc>
      </w:tr>
      <w:tr w14:paraId="6126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DD50673">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价格</w:t>
            </w:r>
          </w:p>
          <w:p w14:paraId="78EFADF7">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c>
          <w:tcPr>
            <w:tcW w:w="2268" w:type="dxa"/>
            <w:vAlign w:val="center"/>
          </w:tcPr>
          <w:p w14:paraId="755B61BF">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投标报价</w:t>
            </w:r>
          </w:p>
          <w:p w14:paraId="48C1C68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20</w:t>
            </w:r>
            <w:r>
              <w:rPr>
                <w:rFonts w:hint="eastAsia" w:ascii="宋体" w:hAnsi="宋体" w:eastAsia="宋体" w:cs="宋体"/>
                <w:sz w:val="28"/>
                <w:szCs w:val="28"/>
              </w:rPr>
              <w:t>分)</w:t>
            </w:r>
          </w:p>
        </w:tc>
        <w:tc>
          <w:tcPr>
            <w:tcW w:w="3402" w:type="dxa"/>
          </w:tcPr>
          <w:p w14:paraId="2A076C32">
            <w:pPr>
              <w:spacing w:line="220" w:lineRule="atLeast"/>
              <w:rPr>
                <w:rFonts w:hint="eastAsia" w:ascii="宋体" w:hAnsi="宋体" w:eastAsia="宋体" w:cs="宋体"/>
                <w:sz w:val="28"/>
                <w:szCs w:val="28"/>
              </w:rPr>
            </w:pPr>
            <w:r>
              <w:rPr>
                <w:rFonts w:hint="eastAsia" w:ascii="宋体" w:hAnsi="宋体" w:eastAsia="宋体" w:cs="宋体"/>
                <w:sz w:val="28"/>
                <w:szCs w:val="28"/>
              </w:rPr>
              <w:t>满足招标要求且最终报价最低的投标报价为评标基准价，其价格分为满分</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0分。   其他投标人的价格分统一按照下列公式计算： 报价得分 = (评标基准价／投标报价) × </w:t>
            </w:r>
            <w:r>
              <w:rPr>
                <w:rFonts w:hint="eastAsia" w:ascii="宋体" w:hAnsi="宋体" w:eastAsia="宋体" w:cs="宋体"/>
                <w:sz w:val="28"/>
                <w:szCs w:val="28"/>
                <w:lang w:val="en-US" w:eastAsia="zh-CN"/>
              </w:rPr>
              <w:t>2</w:t>
            </w:r>
            <w:r>
              <w:rPr>
                <w:rFonts w:hint="eastAsia" w:ascii="宋体" w:hAnsi="宋体" w:eastAsia="宋体" w:cs="宋体"/>
                <w:sz w:val="28"/>
                <w:szCs w:val="28"/>
              </w:rPr>
              <w:t>0% × 100</w:t>
            </w:r>
          </w:p>
        </w:tc>
        <w:tc>
          <w:tcPr>
            <w:tcW w:w="1417" w:type="dxa"/>
          </w:tcPr>
          <w:p w14:paraId="116C70A9">
            <w:pPr>
              <w:spacing w:line="220" w:lineRule="atLeast"/>
              <w:rPr>
                <w:rFonts w:hint="eastAsia" w:ascii="宋体" w:hAnsi="宋体" w:eastAsia="宋体" w:cs="宋体"/>
                <w:sz w:val="28"/>
                <w:szCs w:val="28"/>
              </w:rPr>
            </w:pPr>
          </w:p>
        </w:tc>
        <w:tc>
          <w:tcPr>
            <w:tcW w:w="1418" w:type="dxa"/>
          </w:tcPr>
          <w:p w14:paraId="26B55B1E">
            <w:pPr>
              <w:spacing w:line="220" w:lineRule="atLeast"/>
              <w:rPr>
                <w:rFonts w:hint="eastAsia" w:ascii="宋体" w:hAnsi="宋体" w:eastAsia="宋体" w:cs="宋体"/>
                <w:sz w:val="28"/>
                <w:szCs w:val="28"/>
              </w:rPr>
            </w:pPr>
          </w:p>
        </w:tc>
      </w:tr>
    </w:tbl>
    <w:p w14:paraId="04B43E41">
      <w:pPr>
        <w:pStyle w:val="8"/>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82847"/>
    <w:multiLevelType w:val="singleLevel"/>
    <w:tmpl w:val="48082847"/>
    <w:lvl w:ilvl="0" w:tentative="0">
      <w:start w:val="1"/>
      <w:numFmt w:val="chineseCounting"/>
      <w:suff w:val="nothing"/>
      <w:lvlText w:val="（%1）"/>
      <w:lvlJc w:val="left"/>
      <w:rPr>
        <w:rFonts w:hint="eastAsia"/>
      </w:rPr>
    </w:lvl>
  </w:abstractNum>
  <w:abstractNum w:abstractNumId="1">
    <w:nsid w:val="50E018EC"/>
    <w:multiLevelType w:val="singleLevel"/>
    <w:tmpl w:val="50E018EC"/>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Mzg1NzBmNzNlOWVmYzA4ZmU4OWNhNjcyOGQ1YWQifQ=="/>
  </w:docVars>
  <w:rsids>
    <w:rsidRoot w:val="00A742D3"/>
    <w:rsid w:val="00033474"/>
    <w:rsid w:val="000567D2"/>
    <w:rsid w:val="0006210B"/>
    <w:rsid w:val="000A7139"/>
    <w:rsid w:val="000D6119"/>
    <w:rsid w:val="00170F56"/>
    <w:rsid w:val="001C6838"/>
    <w:rsid w:val="00245F01"/>
    <w:rsid w:val="002475C7"/>
    <w:rsid w:val="0028704F"/>
    <w:rsid w:val="002B5E3E"/>
    <w:rsid w:val="002C66E8"/>
    <w:rsid w:val="00302A80"/>
    <w:rsid w:val="00330B51"/>
    <w:rsid w:val="003C4260"/>
    <w:rsid w:val="003F6836"/>
    <w:rsid w:val="00441BA5"/>
    <w:rsid w:val="004A1C3F"/>
    <w:rsid w:val="004C3898"/>
    <w:rsid w:val="004D60A7"/>
    <w:rsid w:val="00606DEF"/>
    <w:rsid w:val="00684EC5"/>
    <w:rsid w:val="006C2BC7"/>
    <w:rsid w:val="00715AAF"/>
    <w:rsid w:val="00740D4B"/>
    <w:rsid w:val="007A0336"/>
    <w:rsid w:val="007A1357"/>
    <w:rsid w:val="007A7155"/>
    <w:rsid w:val="008037C1"/>
    <w:rsid w:val="00821607"/>
    <w:rsid w:val="00841DEA"/>
    <w:rsid w:val="009226E4"/>
    <w:rsid w:val="009307EE"/>
    <w:rsid w:val="009F75AD"/>
    <w:rsid w:val="00A219AE"/>
    <w:rsid w:val="00A22F47"/>
    <w:rsid w:val="00A52A66"/>
    <w:rsid w:val="00A742D3"/>
    <w:rsid w:val="00AA598E"/>
    <w:rsid w:val="00AD332A"/>
    <w:rsid w:val="00B109CC"/>
    <w:rsid w:val="00B31F08"/>
    <w:rsid w:val="00B60F3C"/>
    <w:rsid w:val="00B93D78"/>
    <w:rsid w:val="00BA7470"/>
    <w:rsid w:val="00C31415"/>
    <w:rsid w:val="00C52D25"/>
    <w:rsid w:val="00C61920"/>
    <w:rsid w:val="00CA4E07"/>
    <w:rsid w:val="00CD2317"/>
    <w:rsid w:val="00D15BFB"/>
    <w:rsid w:val="00D70835"/>
    <w:rsid w:val="00F01647"/>
    <w:rsid w:val="00F21668"/>
    <w:rsid w:val="00F526CF"/>
    <w:rsid w:val="00F745DA"/>
    <w:rsid w:val="00F935A6"/>
    <w:rsid w:val="00F95E88"/>
    <w:rsid w:val="00FD26A7"/>
    <w:rsid w:val="00FF2BF6"/>
    <w:rsid w:val="04B85065"/>
    <w:rsid w:val="0F633B71"/>
    <w:rsid w:val="10F2213B"/>
    <w:rsid w:val="113B0990"/>
    <w:rsid w:val="12F41D6D"/>
    <w:rsid w:val="15B60C56"/>
    <w:rsid w:val="1A855437"/>
    <w:rsid w:val="1BF32926"/>
    <w:rsid w:val="221A4A89"/>
    <w:rsid w:val="24AA57B9"/>
    <w:rsid w:val="270B7843"/>
    <w:rsid w:val="2C0F23A5"/>
    <w:rsid w:val="2D4D7629"/>
    <w:rsid w:val="2E870919"/>
    <w:rsid w:val="2EBF0FE2"/>
    <w:rsid w:val="2ECD7EAC"/>
    <w:rsid w:val="2F5A2584"/>
    <w:rsid w:val="2FF81ACE"/>
    <w:rsid w:val="32BB0E9B"/>
    <w:rsid w:val="33295355"/>
    <w:rsid w:val="35AF3FCF"/>
    <w:rsid w:val="39785A2E"/>
    <w:rsid w:val="3A5E12A6"/>
    <w:rsid w:val="3A7A31BF"/>
    <w:rsid w:val="3B494A65"/>
    <w:rsid w:val="3B822B94"/>
    <w:rsid w:val="3B9D352A"/>
    <w:rsid w:val="3BD778AE"/>
    <w:rsid w:val="3C7544A7"/>
    <w:rsid w:val="40B54204"/>
    <w:rsid w:val="414C12B2"/>
    <w:rsid w:val="415BD23B"/>
    <w:rsid w:val="416B088F"/>
    <w:rsid w:val="447C5F7B"/>
    <w:rsid w:val="44C45FCB"/>
    <w:rsid w:val="47856793"/>
    <w:rsid w:val="49441489"/>
    <w:rsid w:val="4A442588"/>
    <w:rsid w:val="4AE45C6A"/>
    <w:rsid w:val="4EAF58D4"/>
    <w:rsid w:val="50B909AE"/>
    <w:rsid w:val="526644AC"/>
    <w:rsid w:val="537B63EF"/>
    <w:rsid w:val="55C11D64"/>
    <w:rsid w:val="5646709B"/>
    <w:rsid w:val="57D32355"/>
    <w:rsid w:val="57FE24FB"/>
    <w:rsid w:val="585039A6"/>
    <w:rsid w:val="5AA224B3"/>
    <w:rsid w:val="5BAA7871"/>
    <w:rsid w:val="5BC70423"/>
    <w:rsid w:val="61A96E48"/>
    <w:rsid w:val="643D1B94"/>
    <w:rsid w:val="65CD0811"/>
    <w:rsid w:val="685079F2"/>
    <w:rsid w:val="6A741D7E"/>
    <w:rsid w:val="6A7F37DC"/>
    <w:rsid w:val="6DAF2426"/>
    <w:rsid w:val="70F11359"/>
    <w:rsid w:val="731915E4"/>
    <w:rsid w:val="78762B5D"/>
    <w:rsid w:val="79FC3536"/>
    <w:rsid w:val="7B154811"/>
    <w:rsid w:val="7BD46F7B"/>
    <w:rsid w:val="7F2A46A1"/>
    <w:rsid w:val="7F6E1D9D"/>
    <w:rsid w:val="7FF16F6D"/>
    <w:rsid w:val="B74B2684"/>
    <w:rsid w:val="BEFF7383"/>
    <w:rsid w:val="FEFA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5"/>
    <w:qFormat/>
    <w:uiPriority w:val="0"/>
    <w:pPr>
      <w:keepNext/>
      <w:keepLines/>
      <w:outlineLvl w:val="0"/>
    </w:pPr>
    <w:rPr>
      <w:bCs/>
      <w:kern w:val="44"/>
      <w:szCs w:val="44"/>
    </w:rPr>
  </w:style>
  <w:style w:type="paragraph" w:styleId="4">
    <w:name w:val="heading 2"/>
    <w:basedOn w:val="1"/>
    <w:next w:val="1"/>
    <w:link w:val="14"/>
    <w:unhideWhenUsed/>
    <w:qFormat/>
    <w:uiPriority w:val="0"/>
    <w:pPr>
      <w:keepNext/>
      <w:keepLines/>
      <w:outlineLvl w:val="1"/>
    </w:pPr>
    <w:rPr>
      <w:rFonts w:asciiTheme="majorHAnsi" w:hAnsiTheme="majorHAnsi" w:eastAsiaTheme="majorEastAsia" w:cstheme="majorBidi"/>
      <w:bCs/>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Body Text"/>
    <w:basedOn w:val="1"/>
    <w:link w:val="16"/>
    <w:qFormat/>
    <w:uiPriority w:val="0"/>
    <w:pPr>
      <w:spacing w:after="12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widowControl w:val="0"/>
      <w:adjustRightInd/>
      <w:snapToGrid/>
      <w:spacing w:after="0" w:line="360" w:lineRule="auto"/>
      <w:jc w:val="both"/>
    </w:pPr>
    <w:rPr>
      <w:rFonts w:ascii="宋体" w:hAnsi="Calibri" w:eastAsia="宋体" w:cs="Times New Roman"/>
      <w:kern w:val="2"/>
      <w:sz w:val="28"/>
      <w:szCs w:val="24"/>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link w:val="19"/>
    <w:qFormat/>
    <w:uiPriority w:val="0"/>
    <w:pPr>
      <w:ind w:firstLine="420" w:firstLineChars="100"/>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2 Char"/>
    <w:basedOn w:val="13"/>
    <w:link w:val="4"/>
    <w:qFormat/>
    <w:uiPriority w:val="0"/>
    <w:rPr>
      <w:rFonts w:asciiTheme="majorHAnsi" w:hAnsiTheme="majorHAnsi" w:eastAsiaTheme="majorEastAsia" w:cstheme="majorBidi"/>
      <w:bCs/>
      <w:sz w:val="24"/>
      <w:szCs w:val="32"/>
    </w:rPr>
  </w:style>
  <w:style w:type="character" w:customStyle="1" w:styleId="15">
    <w:name w:val="标题 1 Char"/>
    <w:basedOn w:val="13"/>
    <w:link w:val="3"/>
    <w:qFormat/>
    <w:uiPriority w:val="0"/>
    <w:rPr>
      <w:bCs/>
      <w:kern w:val="44"/>
      <w:sz w:val="24"/>
      <w:szCs w:val="44"/>
    </w:rPr>
  </w:style>
  <w:style w:type="character" w:customStyle="1" w:styleId="16">
    <w:name w:val="正文文本 Char"/>
    <w:basedOn w:val="13"/>
    <w:link w:val="5"/>
    <w:qFormat/>
    <w:uiPriority w:val="0"/>
    <w:rPr>
      <w:rFonts w:ascii="Times New Roman" w:hAnsi="Times New Roman" w:eastAsia="宋体" w:cs="Times New Roman"/>
    </w:rPr>
  </w:style>
  <w:style w:type="character" w:customStyle="1" w:styleId="17">
    <w:name w:val="页眉 Char"/>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正文首行缩进 Char"/>
    <w:basedOn w:val="16"/>
    <w:link w:val="10"/>
    <w:qFormat/>
    <w:uiPriority w:val="0"/>
    <w:rPr>
      <w:rFonts w:ascii="Times New Roman" w:hAnsi="Times New Roman" w:eastAsia="宋体" w:cs="Times New Roman"/>
      <w:szCs w:val="21"/>
    </w:rPr>
  </w:style>
  <w:style w:type="character" w:customStyle="1" w:styleId="20">
    <w:name w:val="NormalCharacter"/>
    <w:semiHidden/>
    <w:qFormat/>
    <w:uiPriority w:val="0"/>
    <w:rPr>
      <w:rFonts w:ascii="Times New Roman" w:hAnsi="Times New Roman"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5</Pages>
  <Words>1290</Words>
  <Characters>1354</Characters>
  <Lines>11</Lines>
  <Paragraphs>3</Paragraphs>
  <TotalTime>37</TotalTime>
  <ScaleCrop>false</ScaleCrop>
  <LinksUpToDate>false</LinksUpToDate>
  <CharactersWithSpaces>1383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2023-01-06T00:57:00Z</dcterms:created>
  <dc:creator>GIGA</dc:creator>
  <cp:lastModifiedBy>隔海聽风</cp:lastModifiedBy>
  <dcterms:modified xsi:type="dcterms:W3CDTF">2025-11-24T02:32:30Z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E641142A50E14E40A82858033F65080A_13</vt:lpwstr>
  </property>
  <property fmtid="{D5CDD505-2E9C-101B-9397-08002B2CF9AE}" pid="4" name="KSOTemplateDocerSaveRecord">
    <vt:lpwstr>eyJoZGlkIjoiNzM2NmE2MzkzNjg4ZjQwYjJhMjRiYzk5OTBkYjllMDciLCJ1c2VySWQiOiIzNDUxMDk0MjcifQ==</vt:lpwstr>
  </property>
</Properties>
</file>