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BABA5">
      <w:pPr>
        <w:ind w:firstLine="2700" w:firstLineChars="900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动态心电图</w:t>
      </w:r>
    </w:p>
    <w:p w14:paraId="65BA0BDE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一、核心采集性能</w:t>
      </w:r>
    </w:p>
    <w:p w14:paraId="4D1C05B3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1.导联与通道</w:t>
      </w:r>
      <w:bookmarkStart w:id="0" w:name="_GoBack"/>
      <w:bookmarkEnd w:id="0"/>
    </w:p>
    <w:p w14:paraId="63B6409F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标配12导同步采集（I、II、III、aVR、aVL、aVF、V1-V6）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0713305B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通道数：≥12通道同步采集，单通道采样率≥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000Hz。</w:t>
      </w:r>
    </w:p>
    <w:p w14:paraId="3E1C6869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2.信号精度与抗干扰</w:t>
      </w:r>
    </w:p>
    <w:p w14:paraId="2938D346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A/D转换分辨率：≥24bit</w:t>
      </w:r>
      <w:r>
        <w:rPr>
          <w:rFonts w:hint="eastAsia" w:asciiTheme="minorEastAsia" w:hAnsiTheme="minorEastAsia" w:eastAsiaTheme="minorEastAsia" w:cstheme="minorEastAsia"/>
          <w:strike w:val="0"/>
          <w:dstrike w:val="0"/>
          <w:sz w:val="30"/>
          <w:szCs w:val="30"/>
          <w:lang w:eastAsia="zh-CN"/>
        </w:rPr>
        <w:t>；</w:t>
      </w:r>
    </w:p>
    <w:p w14:paraId="4BC76E02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共模抑制比：≥120dB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369B5459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输入阻抗：≥100MΩ，内部噪声：≤5μVp-p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64C595B5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频响范围：0.05-100Hz（-3dB），时间常数：≥3.2s（满足ST段动态监测需求）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2A207B1E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抗运动伪差：内置运动自适应滤波，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须具备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患者日常活动下信号稳定。</w:t>
      </w:r>
    </w:p>
    <w:p w14:paraId="7C3DB584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二、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安全防护：内置芯片存储，无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SD卡，具备防病毒功能</w:t>
      </w:r>
    </w:p>
    <w:p w14:paraId="076D5050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三、软件与分析功能</w:t>
      </w:r>
    </w:p>
    <w:p w14:paraId="1B9EB89A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1.数据处理与分析</w:t>
      </w:r>
    </w:p>
    <w:p w14:paraId="36D3F5EC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精准测量：自动计算心率、RR间期、QT/QTc间期、P波、QRS波群宽度等参数，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须具备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人工手动修正。</w:t>
      </w:r>
    </w:p>
    <w:p w14:paraId="11F4448B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具备全向起搏器、自主神经功能检测、具备散点图功能</w:t>
      </w:r>
    </w:p>
    <w:p w14:paraId="51BF464E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趋势分析：生成心率变异性（HRV）曲线、心律失常发生频次趋势图、ST段动态变化图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568DB029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报告生成：自动生成结构化诊断报告（含结论、异常事件统计、临床建议），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须具备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中/英文双语报告，格式符合</w:t>
      </w:r>
      <w:r>
        <w:rPr>
          <w:rFonts w:hint="eastAsia" w:asciiTheme="minorEastAsia" w:hAnsiTheme="minorEastAsia" w:eastAsiaTheme="minorEastAsia" w:cstheme="minorEastAsia"/>
          <w:strike w:val="0"/>
          <w:dstrike w:val="0"/>
          <w:sz w:val="30"/>
          <w:szCs w:val="30"/>
        </w:rPr>
        <w:t>三甲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医院临床规范。</w:t>
      </w:r>
    </w:p>
    <w:p w14:paraId="068C7320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2.数据管理与对接</w:t>
      </w:r>
    </w:p>
    <w:p w14:paraId="09B42F8F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数据快速导出，格式包含DICOM、HL7、PDF、TXT、Excel（适配医院HIS/LIS/PACS系统）。</w:t>
      </w:r>
    </w:p>
    <w:p w14:paraId="22256959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网络对接：可直连医院心电工作站，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远程数据上传、实时会诊、报告回传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等功能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。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能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对接医院信息系统（HIS）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免费开放端口，承担接口费用</w:t>
      </w:r>
    </w:p>
    <w:p w14:paraId="7065E26F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患者管理：可按姓名、病历号、检查时间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等信息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快速检索；本地存储历史数据，数据分类归档。</w:t>
      </w:r>
    </w:p>
    <w:p w14:paraId="4FEE539F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新老院区数据能够互联互通，相互分析。</w:t>
      </w:r>
    </w:p>
    <w:p w14:paraId="1254673B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四、安全与合规</w:t>
      </w:r>
    </w:p>
    <w:p w14:paraId="7BF5D12B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具备漏电保护、过流保护、短路保护功能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</w:p>
    <w:p w14:paraId="0A10E7A9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数据安全：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数据加密存储与传输；操作日志可追溯。</w:t>
      </w:r>
    </w:p>
    <w:p w14:paraId="5186DDFD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五、售后与质保</w:t>
      </w:r>
    </w:p>
    <w:p w14:paraId="704B396D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质保期限：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≥5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年</w:t>
      </w:r>
      <w:r>
        <w:rPr>
          <w:rFonts w:hint="eastAsia" w:asciiTheme="minorEastAsia" w:hAnsiTheme="minorEastAsia" w:eastAsiaTheme="minorEastAsia" w:cstheme="minorEastAsia"/>
          <w:strike w:val="0"/>
          <w:dstrike w:val="0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使用年限：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≥10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年。</w:t>
      </w:r>
    </w:p>
    <w:p w14:paraId="2A10FB73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技术支持：7×24小时在线技术响应，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2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</w:rPr>
        <w:t>小时到场服务</w:t>
      </w:r>
      <w:r>
        <w:rPr>
          <w:rFonts w:hint="eastAsia" w:asciiTheme="minorEastAsia" w:hAnsiTheme="minorEastAsia" w:eastAsiaTheme="minorEastAsia" w:cstheme="minorEastAsia"/>
          <w:strike w:val="0"/>
          <w:dstrike w:val="0"/>
          <w:color w:val="auto"/>
          <w:sz w:val="30"/>
          <w:szCs w:val="30"/>
        </w:rPr>
        <w:t>，</w:t>
      </w:r>
      <w:r>
        <w:rPr>
          <w:rFonts w:hint="eastAsia" w:asciiTheme="minorEastAsia" w:hAnsiTheme="minorEastAsia" w:eastAsiaTheme="minorEastAsia" w:cstheme="minorEastAsia"/>
          <w:strike w:val="0"/>
          <w:dstrike w:val="0"/>
          <w:sz w:val="30"/>
          <w:szCs w:val="30"/>
        </w:rPr>
        <w:t>质保期外提供成本价维修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。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终身提供软件升级服务。</w:t>
      </w:r>
    </w:p>
    <w:p w14:paraId="008FD219">
      <w:pPr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培训服务：中标人派工程师现场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对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采购人培训，确保被培训人员能熟练掌握技术操作。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1F1939"/>
    <w:rsid w:val="5FA0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699</Words>
  <Characters>800</Characters>
  <Lines>0</Lines>
  <Paragraphs>0</Paragraphs>
  <TotalTime>0</TotalTime>
  <ScaleCrop>false</ScaleCrop>
  <LinksUpToDate>false</LinksUpToDate>
  <CharactersWithSpaces>800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2026-05-26T08:49:00Z</dcterms:created>
  <dc:creator>Administrator</dc:creator>
  <cp:lastModifiedBy>胡</cp:lastModifiedBy>
  <dcterms:modified xsi:type="dcterms:W3CDTF">2026-05-29T07:01:26Z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eyJoZGlkIjoiZmI5OTQ3YThlZDM2ZTZkNWZmN2FjMjNlNGUyZGIxNjAiLCJ1c2VySWQiOiIyMjEwMDE1OTkifQ==</vt:lpwstr>
  </property>
  <property fmtid="{D5CDD505-2E9C-101B-9397-08002B2CF9AE}" pid="4" name="ICV">
    <vt:lpwstr>83C10187AD6040059D3F95CCB4E53C4B_12</vt:lpwstr>
  </property>
</Properties>
</file>