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C8350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动态血压计（ABPM）</w:t>
      </w:r>
    </w:p>
    <w:p w14:paraId="3819079B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一、核心采集性能</w:t>
      </w:r>
    </w:p>
    <w:p w14:paraId="274F8E9F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测量原理与精度</w:t>
      </w:r>
      <w:bookmarkStart w:id="0" w:name="_GoBack"/>
      <w:bookmarkEnd w:id="0"/>
    </w:p>
    <w:p w14:paraId="21B20698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测量技术：采用示波法，同步采集血压与脉搏波信号。</w:t>
      </w:r>
    </w:p>
    <w:p w14:paraId="7268B7F1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测量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范围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10-260mmHg;精度：±3%</w:t>
      </w:r>
    </w:p>
    <w:p w14:paraId="3884F329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压力测量范围：0–300mmHg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；精度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±1%</w:t>
      </w:r>
    </w:p>
    <w:p w14:paraId="2064E74E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脉搏：30–2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0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bpm</w:t>
      </w:r>
    </w:p>
    <w:p w14:paraId="319321D0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能够监测出生28天后新生儿的所有人群</w:t>
      </w:r>
    </w:p>
    <w:p w14:paraId="786A2B96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二、硬件</w:t>
      </w:r>
    </w:p>
    <w:p w14:paraId="470F4BC0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.袖带与配件</w:t>
      </w:r>
    </w:p>
    <w:p w14:paraId="1DE4A766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袖带规格（需适配不同体型）：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大中小号</w:t>
      </w:r>
    </w:p>
    <w:p w14:paraId="2391D06D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材质：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棉质</w:t>
      </w:r>
    </w:p>
    <w:p w14:paraId="5655456B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三、软件与分析功能</w:t>
      </w:r>
    </w:p>
    <w:p w14:paraId="23E7AAA4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1.数据记录与分析</w:t>
      </w:r>
    </w:p>
    <w:p w14:paraId="5FD0A4D1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测量间隔：支持自定义设置（默认：白天15–30分钟/次，夜间30–60分钟/次），可按科室需求调整。</w:t>
      </w:r>
    </w:p>
    <w:p w14:paraId="6A2E3A21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记录时长：≥48小时，支持扩展至≥72小时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012DE5AA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数据存储：本地存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储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≥512MB，可存≥500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完整监测数据，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原始数据与分析结果双存储。</w:t>
      </w:r>
    </w:p>
    <w:p w14:paraId="105BFC11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生成24小时血压趋势图、昼夜节律图、血压负荷统计、最高/最低血压分布表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0125F128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人工手动修正，医生可对异常测量点进行标记、删除。</w:t>
      </w:r>
    </w:p>
    <w:p w14:paraId="223FBF88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2.报告与管理</w:t>
      </w:r>
    </w:p>
    <w:p w14:paraId="515CDD5F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报告格式：自动生成结构化专业报告，包含测量概况、血压参数统计、昼夜节律分析、临床建议三部分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75BBA481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导出与对接：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用具备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心电工作站远程上传，数据同步存储与远程会诊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，对接医院的信息系统；</w:t>
      </w:r>
    </w:p>
    <w:p w14:paraId="7D48FD4C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患者管理：支持按姓名、病历号、检查时间快速检索与回放，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须具备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数据分类归档。</w:t>
      </w:r>
    </w:p>
    <w:p w14:paraId="063D54DE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四、售后与质保</w:t>
      </w:r>
    </w:p>
    <w:p w14:paraId="6341FBB8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质保期限：≥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年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；使用年限：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年。</w:t>
      </w:r>
    </w:p>
    <w:p w14:paraId="7731C4AD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技术支持：7×24小时在线技术响应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，2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小时到场服务，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质保期外提供成本价维修。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终身提供软件升级服务。</w:t>
      </w:r>
    </w:p>
    <w:p w14:paraId="6D48AF9E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培训服务：中标人派工程师现场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对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采购人培训，确保被培训人员能熟练掌握技术操作。</w:t>
      </w:r>
    </w:p>
    <w:p w14:paraId="2023E2BC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sectPr>
      <w:pgSz w:w="11906" w:h="16838"/>
      <w:pgMar w:top="1440" w:right="1286" w:bottom="1440" w:left="96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9661B5"/>
    <w:rsid w:val="461D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553</Words>
  <Characters>599</Characters>
  <Lines>0</Lines>
  <Paragraphs>0</Paragraphs>
  <TotalTime>0</TotalTime>
  <ScaleCrop>false</ScaleCrop>
  <LinksUpToDate>false</LinksUpToDate>
  <CharactersWithSpaces>599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2026-05-26T08:50:00Z</dcterms:created>
  <dc:creator>Administrator</dc:creator>
  <cp:lastModifiedBy>胡</cp:lastModifiedBy>
  <dcterms:modified xsi:type="dcterms:W3CDTF">2026-05-29T07:01:56Z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eyJoZGlkIjoiZmI5OTQ3YThlZDM2ZTZkNWZmN2FjMjNlNGUyZGIxNjAiLCJ1c2VySWQiOiIyMjEwMDE1OTkifQ==</vt:lpwstr>
  </property>
  <property fmtid="{D5CDD505-2E9C-101B-9397-08002B2CF9AE}" pid="4" name="ICV">
    <vt:lpwstr>C8C043F84CF645F79E54039D063DE043_12</vt:lpwstr>
  </property>
</Properties>
</file>